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CF7C" w14:textId="77777777" w:rsidR="00FE182E" w:rsidRDefault="00FE182E" w:rsidP="00FE182E">
      <w:pPr>
        <w:pStyle w:val="Titel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</w:t>
      </w:r>
    </w:p>
    <w:p w14:paraId="0588BB97" w14:textId="77777777" w:rsidR="00FE182E" w:rsidRDefault="00FE182E" w:rsidP="00FE182E">
      <w:pPr>
        <w:pStyle w:val="Titel"/>
        <w:jc w:val="center"/>
        <w:rPr>
          <w:sz w:val="72"/>
          <w:szCs w:val="72"/>
        </w:rPr>
      </w:pPr>
    </w:p>
    <w:p w14:paraId="699146ED" w14:textId="77777777" w:rsidR="00FE182E" w:rsidRDefault="00FE182E" w:rsidP="00FE182E">
      <w:pPr>
        <w:pStyle w:val="Titel"/>
        <w:jc w:val="center"/>
        <w:rPr>
          <w:sz w:val="72"/>
          <w:szCs w:val="72"/>
        </w:rPr>
      </w:pPr>
      <w:r w:rsidRPr="00DC1AE1">
        <w:rPr>
          <w:noProof/>
          <w:sz w:val="72"/>
          <w:szCs w:val="72"/>
        </w:rPr>
        <w:drawing>
          <wp:inline distT="0" distB="0" distL="0" distR="0" wp14:anchorId="7B62D6C9" wp14:editId="19D6C59F">
            <wp:extent cx="6096851" cy="1409897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ADF59" w14:textId="77777777" w:rsidR="00FE182E" w:rsidRDefault="00FE182E" w:rsidP="00FE182E">
      <w:pPr>
        <w:pStyle w:val="Titel"/>
        <w:jc w:val="center"/>
        <w:rPr>
          <w:sz w:val="72"/>
          <w:szCs w:val="72"/>
        </w:rPr>
      </w:pPr>
    </w:p>
    <w:p w14:paraId="0A37065E" w14:textId="77777777" w:rsidR="00FE182E" w:rsidRDefault="00FE182E" w:rsidP="00FE182E">
      <w:pPr>
        <w:pStyle w:val="Titel"/>
        <w:jc w:val="center"/>
        <w:rPr>
          <w:sz w:val="72"/>
          <w:szCs w:val="72"/>
        </w:rPr>
      </w:pPr>
    </w:p>
    <w:p w14:paraId="7BFBFDFD" w14:textId="77777777" w:rsidR="00FE182E" w:rsidRPr="00EF2338" w:rsidRDefault="00FE182E" w:rsidP="00FE182E">
      <w:pPr>
        <w:pStyle w:val="Titel"/>
        <w:jc w:val="center"/>
        <w:rPr>
          <w:sz w:val="72"/>
          <w:szCs w:val="72"/>
        </w:rPr>
      </w:pPr>
      <w:r>
        <w:rPr>
          <w:sz w:val="72"/>
          <w:szCs w:val="72"/>
        </w:rPr>
        <w:t>R</w:t>
      </w:r>
      <w:r w:rsidRPr="00EF2338">
        <w:rPr>
          <w:sz w:val="72"/>
          <w:szCs w:val="72"/>
        </w:rPr>
        <w:t>ammusáttmál</w:t>
      </w:r>
      <w:r>
        <w:rPr>
          <w:sz w:val="72"/>
          <w:szCs w:val="72"/>
        </w:rPr>
        <w:t xml:space="preserve">i fyri </w:t>
      </w:r>
    </w:p>
    <w:p w14:paraId="0D4BDBCF" w14:textId="77777777" w:rsidR="00FE182E" w:rsidRPr="00EF2338" w:rsidRDefault="00FE182E" w:rsidP="00FE182E"/>
    <w:p w14:paraId="323C4248" w14:textId="734614DC" w:rsidR="00FE182E" w:rsidRPr="002564F3" w:rsidRDefault="00D84570" w:rsidP="00FE182E">
      <w:pPr>
        <w:jc w:val="center"/>
        <w:rPr>
          <w:sz w:val="32"/>
          <w:szCs w:val="28"/>
        </w:rPr>
      </w:pPr>
      <w:r>
        <w:rPr>
          <w:sz w:val="32"/>
          <w:szCs w:val="28"/>
        </w:rPr>
        <w:t>keyp</w:t>
      </w:r>
      <w:r w:rsidR="00FE182E">
        <w:rPr>
          <w:sz w:val="32"/>
          <w:szCs w:val="28"/>
        </w:rPr>
        <w:t xml:space="preserve"> telduútgerð hjá landinum</w:t>
      </w:r>
    </w:p>
    <w:p w14:paraId="4CC792D5" w14:textId="77777777" w:rsidR="00FE182E" w:rsidRDefault="00FE182E" w:rsidP="00FE182E">
      <w:pPr>
        <w:jc w:val="center"/>
        <w:rPr>
          <w:sz w:val="32"/>
          <w:szCs w:val="28"/>
        </w:rPr>
      </w:pPr>
    </w:p>
    <w:p w14:paraId="1F58C495" w14:textId="1985B555" w:rsidR="00FE182E" w:rsidRDefault="00FB23B0" w:rsidP="00FE182E">
      <w:pPr>
        <w:jc w:val="center"/>
        <w:rPr>
          <w:sz w:val="32"/>
          <w:szCs w:val="28"/>
        </w:rPr>
      </w:pPr>
      <w:r>
        <w:rPr>
          <w:sz w:val="32"/>
          <w:szCs w:val="28"/>
        </w:rPr>
        <w:t>sept.</w:t>
      </w:r>
      <w:r w:rsidR="00FE182E" w:rsidRPr="002564F3">
        <w:rPr>
          <w:sz w:val="32"/>
          <w:szCs w:val="28"/>
        </w:rPr>
        <w:t xml:space="preserve"> 202</w:t>
      </w:r>
      <w:r w:rsidR="00FE182E">
        <w:rPr>
          <w:sz w:val="32"/>
          <w:szCs w:val="28"/>
        </w:rPr>
        <w:t>1</w:t>
      </w:r>
    </w:p>
    <w:p w14:paraId="2B7A3B62" w14:textId="77777777" w:rsidR="00FE182E" w:rsidRDefault="00FE182E" w:rsidP="00FE182E">
      <w:pPr>
        <w:spacing w:line="259" w:lineRule="auto"/>
        <w:rPr>
          <w:sz w:val="32"/>
          <w:szCs w:val="28"/>
        </w:rPr>
      </w:pPr>
      <w:r>
        <w:rPr>
          <w:sz w:val="32"/>
          <w:szCs w:val="28"/>
        </w:rPr>
        <w:br w:type="page"/>
      </w:r>
    </w:p>
    <w:p w14:paraId="0B44DB5F" w14:textId="77777777" w:rsidR="00FE182E" w:rsidRPr="002564F3" w:rsidRDefault="00FE182E" w:rsidP="00FE182E">
      <w:pPr>
        <w:jc w:val="center"/>
        <w:rPr>
          <w:sz w:val="32"/>
          <w:szCs w:val="28"/>
        </w:rPr>
      </w:pPr>
    </w:p>
    <w:p w14:paraId="6BA08AE6" w14:textId="77777777" w:rsidR="00FE182E" w:rsidRDefault="00FE182E" w:rsidP="00FE182E">
      <w:pPr>
        <w:spacing w:line="259" w:lineRule="auto"/>
      </w:pPr>
    </w:p>
    <w:sdt>
      <w:sdtPr>
        <w:rPr>
          <w:lang w:val="da-DK"/>
        </w:rPr>
        <w:id w:val="-54382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FD8D06" w14:textId="77777777" w:rsidR="00FE182E" w:rsidRDefault="00FE182E" w:rsidP="00FE182E">
          <w:r w:rsidRPr="00FE182E">
            <w:rPr>
              <w:sz w:val="32"/>
              <w:szCs w:val="32"/>
              <w:lang w:val="da-DK"/>
            </w:rPr>
            <w:t>Innihald</w:t>
          </w:r>
        </w:p>
        <w:p w14:paraId="1FF7CEB1" w14:textId="63B0A008" w:rsidR="001F5F19" w:rsidRDefault="00FE182E">
          <w:pPr>
            <w:pStyle w:val="Indholdsfortegnelse1"/>
            <w:tabs>
              <w:tab w:val="left" w:pos="440"/>
              <w:tab w:val="right" w:leader="dot" w:pos="9628"/>
            </w:tabs>
            <w:rPr>
              <w:noProof/>
              <w:szCs w:val="22"/>
              <w:lang w:eastAsia="fo-F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917025" w:history="1">
            <w:r w:rsidR="001F5F19" w:rsidRPr="00476CAA">
              <w:rPr>
                <w:rStyle w:val="Hyperlink"/>
                <w:noProof/>
              </w:rPr>
              <w:t>1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Partarnir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_Toc74917025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3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00C116F9" w14:textId="3C5BA826" w:rsidR="001F5F19" w:rsidRDefault="00AF6C55">
          <w:pPr>
            <w:pStyle w:val="Indholdsfortegnelse1"/>
            <w:tabs>
              <w:tab w:val="left" w:pos="440"/>
              <w:tab w:val="right" w:leader="dot" w:pos="9628"/>
            </w:tabs>
            <w:rPr>
              <w:noProof/>
              <w:szCs w:val="22"/>
              <w:lang w:eastAsia="fo-FO"/>
            </w:rPr>
          </w:pPr>
          <w:hyperlink w:anchor="_Toc74917026" w:history="1">
            <w:r w:rsidR="001F5F19" w:rsidRPr="00476CAA">
              <w:rPr>
                <w:rStyle w:val="Hyperlink"/>
                <w:noProof/>
              </w:rPr>
              <w:t>2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Grundarlag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_Toc74917026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3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0A9B0A8E" w14:textId="622193E7" w:rsidR="001F5F19" w:rsidRDefault="00AF6C55">
          <w:pPr>
            <w:pStyle w:val="Indholdsfortegnelse1"/>
            <w:tabs>
              <w:tab w:val="left" w:pos="440"/>
              <w:tab w:val="right" w:leader="dot" w:pos="9628"/>
            </w:tabs>
            <w:rPr>
              <w:noProof/>
              <w:szCs w:val="22"/>
              <w:lang w:eastAsia="fo-FO"/>
            </w:rPr>
          </w:pPr>
          <w:hyperlink w:anchor="_Toc74917027" w:history="1">
            <w:r w:rsidR="001F5F19" w:rsidRPr="00476CAA">
              <w:rPr>
                <w:rStyle w:val="Hyperlink"/>
                <w:noProof/>
              </w:rPr>
              <w:t>3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Tíðarskeið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_Toc74917027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3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78F0909F" w14:textId="505F7B5F" w:rsidR="001F5F19" w:rsidRDefault="00AF6C55">
          <w:pPr>
            <w:pStyle w:val="Indholdsfortegnelse1"/>
            <w:tabs>
              <w:tab w:val="left" w:pos="440"/>
              <w:tab w:val="right" w:leader="dot" w:pos="9628"/>
            </w:tabs>
            <w:rPr>
              <w:noProof/>
              <w:szCs w:val="22"/>
              <w:lang w:eastAsia="fo-FO"/>
            </w:rPr>
          </w:pPr>
          <w:hyperlink w:anchor="_Toc74917028" w:history="1">
            <w:r w:rsidR="001F5F19" w:rsidRPr="00476CAA">
              <w:rPr>
                <w:rStyle w:val="Hyperlink"/>
                <w:noProof/>
              </w:rPr>
              <w:t>4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Vavi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_Toc74917028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4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3FE92174" w14:textId="631283C1" w:rsidR="001F5F19" w:rsidRDefault="00AF6C55">
          <w:pPr>
            <w:pStyle w:val="Indholdsfortegnelse1"/>
            <w:tabs>
              <w:tab w:val="left" w:pos="440"/>
              <w:tab w:val="right" w:leader="dot" w:pos="9628"/>
            </w:tabs>
            <w:rPr>
              <w:noProof/>
              <w:szCs w:val="22"/>
              <w:lang w:eastAsia="fo-FO"/>
            </w:rPr>
          </w:pPr>
          <w:hyperlink w:anchor="_Toc74917029" w:history="1">
            <w:r w:rsidR="001F5F19" w:rsidRPr="00476CAA">
              <w:rPr>
                <w:rStyle w:val="Hyperlink"/>
                <w:noProof/>
              </w:rPr>
              <w:t>5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Heimild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_Toc74917029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4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6DB540C5" w14:textId="54962DC9" w:rsidR="001F5F19" w:rsidRDefault="00AF6C55">
          <w:pPr>
            <w:pStyle w:val="Indholdsfortegnelse1"/>
            <w:tabs>
              <w:tab w:val="left" w:pos="440"/>
              <w:tab w:val="right" w:leader="dot" w:pos="9628"/>
            </w:tabs>
            <w:rPr>
              <w:noProof/>
              <w:szCs w:val="22"/>
              <w:lang w:eastAsia="fo-FO"/>
            </w:rPr>
          </w:pPr>
          <w:hyperlink w:anchor="_Toc74917030" w:history="1">
            <w:r w:rsidR="001F5F19" w:rsidRPr="00476CAA">
              <w:rPr>
                <w:rStyle w:val="Hyperlink"/>
                <w:noProof/>
              </w:rPr>
              <w:t>6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Innkeyp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_Toc74917030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4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5D82B967" w14:textId="25246243" w:rsidR="001F5F19" w:rsidRDefault="00AF6C55">
          <w:pPr>
            <w:pStyle w:val="Indholdsfortegnelse1"/>
            <w:tabs>
              <w:tab w:val="left" w:pos="440"/>
              <w:tab w:val="right" w:leader="dot" w:pos="9628"/>
            </w:tabs>
            <w:rPr>
              <w:noProof/>
              <w:szCs w:val="22"/>
              <w:lang w:eastAsia="fo-FO"/>
            </w:rPr>
          </w:pPr>
          <w:hyperlink w:anchor="_Toc74917031" w:history="1">
            <w:r w:rsidR="001F5F19" w:rsidRPr="00476CAA">
              <w:rPr>
                <w:rStyle w:val="Hyperlink"/>
                <w:noProof/>
              </w:rPr>
              <w:t>7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Bíligari tilboð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_Toc74917031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6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7B0F9DB9" w14:textId="4BC79AA9" w:rsidR="001F5F19" w:rsidRDefault="00AF6C55">
          <w:pPr>
            <w:pStyle w:val="Indholdsfortegnelse1"/>
            <w:tabs>
              <w:tab w:val="left" w:pos="440"/>
              <w:tab w:val="right" w:leader="dot" w:pos="9628"/>
            </w:tabs>
            <w:rPr>
              <w:noProof/>
              <w:szCs w:val="22"/>
              <w:lang w:eastAsia="fo-FO"/>
            </w:rPr>
          </w:pPr>
          <w:hyperlink w:anchor="_Toc74917032" w:history="1">
            <w:r w:rsidR="001F5F19" w:rsidRPr="00476CAA">
              <w:rPr>
                <w:rStyle w:val="Hyperlink"/>
                <w:noProof/>
              </w:rPr>
              <w:t>8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Hagtøl og frágreiðingar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_Toc74917032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6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2122C555" w14:textId="34FF8201" w:rsidR="001F5F19" w:rsidRDefault="00AF6C55">
          <w:pPr>
            <w:pStyle w:val="Indholdsfortegnelse1"/>
            <w:tabs>
              <w:tab w:val="left" w:pos="440"/>
              <w:tab w:val="right" w:leader="dot" w:pos="9628"/>
            </w:tabs>
            <w:rPr>
              <w:noProof/>
              <w:szCs w:val="22"/>
              <w:lang w:eastAsia="fo-FO"/>
            </w:rPr>
          </w:pPr>
          <w:hyperlink w:anchor="_Toc74917033" w:history="1">
            <w:r w:rsidR="001F5F19" w:rsidRPr="00476CAA">
              <w:rPr>
                <w:rStyle w:val="Hyperlink"/>
                <w:noProof/>
              </w:rPr>
              <w:t>9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Samstarv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_Toc74917033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6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4DF922EC" w14:textId="09A5DA17" w:rsidR="001F5F19" w:rsidRDefault="00AF6C55">
          <w:pPr>
            <w:pStyle w:val="Indholdsfortegnelse1"/>
            <w:tabs>
              <w:tab w:val="left" w:pos="660"/>
              <w:tab w:val="right" w:leader="dot" w:pos="9628"/>
            </w:tabs>
            <w:rPr>
              <w:noProof/>
              <w:szCs w:val="22"/>
              <w:lang w:eastAsia="fo-FO"/>
            </w:rPr>
          </w:pPr>
          <w:hyperlink w:anchor="_Toc74917034" w:history="1">
            <w:r w:rsidR="001F5F19" w:rsidRPr="00476CAA">
              <w:rPr>
                <w:rStyle w:val="Hyperlink"/>
                <w:noProof/>
              </w:rPr>
              <w:t>10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Broytingar í prísum og vørum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_Toc74917034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6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69BD97CA" w14:textId="6DB7E2C6" w:rsidR="001F5F19" w:rsidRDefault="00AF6C55">
          <w:pPr>
            <w:pStyle w:val="Indholdsfortegnelse1"/>
            <w:tabs>
              <w:tab w:val="left" w:pos="660"/>
              <w:tab w:val="right" w:leader="dot" w:pos="9628"/>
            </w:tabs>
            <w:rPr>
              <w:noProof/>
              <w:szCs w:val="22"/>
              <w:lang w:eastAsia="fo-FO"/>
            </w:rPr>
          </w:pPr>
          <w:hyperlink w:anchor="_Toc74917035" w:history="1">
            <w:r w:rsidR="001F5F19" w:rsidRPr="00476CAA">
              <w:rPr>
                <w:rStyle w:val="Hyperlink"/>
                <w:noProof/>
              </w:rPr>
              <w:t>11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Broytingar í vørulistanum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_Toc74917035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7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29751B58" w14:textId="6224F4C0" w:rsidR="001F5F19" w:rsidRDefault="00AF6C55">
          <w:pPr>
            <w:pStyle w:val="Indholdsfortegnelse1"/>
            <w:tabs>
              <w:tab w:val="left" w:pos="660"/>
              <w:tab w:val="right" w:leader="dot" w:pos="9628"/>
            </w:tabs>
            <w:rPr>
              <w:noProof/>
              <w:szCs w:val="22"/>
              <w:lang w:eastAsia="fo-FO"/>
            </w:rPr>
          </w:pPr>
          <w:hyperlink w:anchor="_Toc74917036" w:history="1">
            <w:r w:rsidR="001F5F19" w:rsidRPr="00476CAA">
              <w:rPr>
                <w:rStyle w:val="Hyperlink"/>
                <w:noProof/>
              </w:rPr>
              <w:t>12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Broytingar í sáttmálanum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_Toc74917036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7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0CA6B538" w14:textId="0C93A7AB" w:rsidR="001F5F19" w:rsidRDefault="00AF6C55">
          <w:pPr>
            <w:pStyle w:val="Indholdsfortegnelse1"/>
            <w:tabs>
              <w:tab w:val="left" w:pos="660"/>
              <w:tab w:val="right" w:leader="dot" w:pos="9628"/>
            </w:tabs>
            <w:rPr>
              <w:noProof/>
              <w:szCs w:val="22"/>
              <w:lang w:eastAsia="fo-FO"/>
            </w:rPr>
          </w:pPr>
          <w:hyperlink w:anchor="_Toc74917037" w:history="1">
            <w:r w:rsidR="001F5F19" w:rsidRPr="00476CAA">
              <w:rPr>
                <w:rStyle w:val="Hyperlink"/>
                <w:noProof/>
              </w:rPr>
              <w:t>13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Force Majeure og týðandi mishald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_Toc74917037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7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7282EC4C" w14:textId="6F49FA28" w:rsidR="001F5F19" w:rsidRDefault="00AF6C55">
          <w:pPr>
            <w:pStyle w:val="Indholdsfortegnelse1"/>
            <w:tabs>
              <w:tab w:val="left" w:pos="660"/>
              <w:tab w:val="right" w:leader="dot" w:pos="9628"/>
            </w:tabs>
            <w:rPr>
              <w:noProof/>
              <w:szCs w:val="22"/>
              <w:lang w:eastAsia="fo-FO"/>
            </w:rPr>
          </w:pPr>
          <w:hyperlink w:anchor="_Toc74917038" w:history="1">
            <w:r w:rsidR="001F5F19" w:rsidRPr="00476CAA">
              <w:rPr>
                <w:rStyle w:val="Hyperlink"/>
                <w:noProof/>
              </w:rPr>
              <w:t>14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Avhenda til triðja part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_Toc74917038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8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23B02057" w14:textId="38CC3ACB" w:rsidR="001F5F19" w:rsidRDefault="00AF6C55">
          <w:pPr>
            <w:pStyle w:val="Indholdsfortegnelse1"/>
            <w:tabs>
              <w:tab w:val="left" w:pos="660"/>
              <w:tab w:val="right" w:leader="dot" w:pos="9628"/>
            </w:tabs>
            <w:rPr>
              <w:noProof/>
              <w:szCs w:val="22"/>
              <w:lang w:eastAsia="fo-FO"/>
            </w:rPr>
          </w:pPr>
          <w:hyperlink w:anchor="_Toc74917039" w:history="1">
            <w:r w:rsidR="001F5F19" w:rsidRPr="00476CAA">
              <w:rPr>
                <w:rStyle w:val="Hyperlink"/>
                <w:noProof/>
              </w:rPr>
              <w:t>15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Trúnaður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_Toc74917039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8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36D55F7B" w14:textId="232B6691" w:rsidR="001F5F19" w:rsidRDefault="00AF6C55">
          <w:pPr>
            <w:pStyle w:val="Indholdsfortegnelse1"/>
            <w:tabs>
              <w:tab w:val="left" w:pos="660"/>
              <w:tab w:val="right" w:leader="dot" w:pos="9628"/>
            </w:tabs>
            <w:rPr>
              <w:noProof/>
              <w:szCs w:val="22"/>
              <w:lang w:eastAsia="fo-FO"/>
            </w:rPr>
          </w:pPr>
          <w:hyperlink w:anchor="_Toc74917040" w:history="1">
            <w:r w:rsidR="001F5F19" w:rsidRPr="00476CAA">
              <w:rPr>
                <w:rStyle w:val="Hyperlink"/>
                <w:noProof/>
              </w:rPr>
              <w:t>16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Endurgjald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_Toc74917040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8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32BCBC2A" w14:textId="51366C3C" w:rsidR="001F5F19" w:rsidRDefault="00AF6C55">
          <w:pPr>
            <w:pStyle w:val="Indholdsfortegnelse1"/>
            <w:tabs>
              <w:tab w:val="left" w:pos="660"/>
              <w:tab w:val="right" w:leader="dot" w:pos="9628"/>
            </w:tabs>
            <w:rPr>
              <w:noProof/>
              <w:szCs w:val="22"/>
              <w:lang w:eastAsia="fo-FO"/>
            </w:rPr>
          </w:pPr>
          <w:hyperlink w:anchor="_Toc74917041" w:history="1">
            <w:r w:rsidR="001F5F19" w:rsidRPr="00476CAA">
              <w:rPr>
                <w:rStyle w:val="Hyperlink"/>
                <w:noProof/>
              </w:rPr>
              <w:t>17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Træta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_Toc74917041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8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0D8B5FDE" w14:textId="69E65D70" w:rsidR="001F5F19" w:rsidRDefault="00AF6C55">
          <w:pPr>
            <w:pStyle w:val="Indholdsfortegnelse1"/>
            <w:tabs>
              <w:tab w:val="left" w:pos="660"/>
              <w:tab w:val="right" w:leader="dot" w:pos="9628"/>
            </w:tabs>
            <w:rPr>
              <w:noProof/>
              <w:szCs w:val="22"/>
              <w:lang w:eastAsia="fo-FO"/>
            </w:rPr>
          </w:pPr>
          <w:hyperlink w:anchor="_Toc74917042" w:history="1">
            <w:r w:rsidR="001F5F19" w:rsidRPr="00476CAA">
              <w:rPr>
                <w:rStyle w:val="Hyperlink"/>
                <w:noProof/>
              </w:rPr>
              <w:t>18</w:t>
            </w:r>
            <w:r w:rsidR="001F5F19">
              <w:rPr>
                <w:noProof/>
                <w:szCs w:val="22"/>
                <w:lang w:eastAsia="fo-FO"/>
              </w:rPr>
              <w:tab/>
            </w:r>
            <w:r w:rsidR="001F5F19" w:rsidRPr="00476CAA">
              <w:rPr>
                <w:rStyle w:val="Hyperlink"/>
                <w:noProof/>
              </w:rPr>
              <w:t>Undirskrift</w:t>
            </w:r>
            <w:r w:rsidR="001F5F19">
              <w:rPr>
                <w:noProof/>
                <w:webHidden/>
              </w:rPr>
              <w:tab/>
            </w:r>
            <w:r w:rsidR="001F5F19">
              <w:rPr>
                <w:noProof/>
                <w:webHidden/>
              </w:rPr>
              <w:fldChar w:fldCharType="begin"/>
            </w:r>
            <w:r w:rsidR="001F5F19">
              <w:rPr>
                <w:noProof/>
                <w:webHidden/>
              </w:rPr>
              <w:instrText xml:space="preserve"> PAGEREF _Toc74917042 \h </w:instrText>
            </w:r>
            <w:r w:rsidR="001F5F19">
              <w:rPr>
                <w:noProof/>
                <w:webHidden/>
              </w:rPr>
            </w:r>
            <w:r w:rsidR="001F5F19">
              <w:rPr>
                <w:noProof/>
                <w:webHidden/>
              </w:rPr>
              <w:fldChar w:fldCharType="separate"/>
            </w:r>
            <w:r w:rsidR="001F5F19">
              <w:rPr>
                <w:noProof/>
                <w:webHidden/>
              </w:rPr>
              <w:t>9</w:t>
            </w:r>
            <w:r w:rsidR="001F5F19">
              <w:rPr>
                <w:noProof/>
                <w:webHidden/>
              </w:rPr>
              <w:fldChar w:fldCharType="end"/>
            </w:r>
          </w:hyperlink>
        </w:p>
        <w:p w14:paraId="15F03DB5" w14:textId="36E97B80" w:rsidR="00FE182E" w:rsidRDefault="00FE182E" w:rsidP="00FE182E">
          <w:r>
            <w:rPr>
              <w:b/>
              <w:bCs/>
              <w:lang w:val="da-DK"/>
            </w:rPr>
            <w:fldChar w:fldCharType="end"/>
          </w:r>
        </w:p>
      </w:sdtContent>
    </w:sdt>
    <w:p w14:paraId="3C7BFB42" w14:textId="77777777" w:rsidR="00FE182E" w:rsidRDefault="00FE182E" w:rsidP="00FE182E">
      <w:pPr>
        <w:spacing w:line="259" w:lineRule="auto"/>
      </w:pPr>
      <w:r>
        <w:br w:type="page"/>
      </w:r>
    </w:p>
    <w:p w14:paraId="5D49D0BB" w14:textId="224F4FBE" w:rsidR="00FE182E" w:rsidRDefault="00FE182E" w:rsidP="00FE182E">
      <w:pPr>
        <w:pStyle w:val="Overskrift1"/>
      </w:pPr>
      <w:bookmarkStart w:id="0" w:name="_Toc74917025"/>
      <w:r>
        <w:lastRenderedPageBreak/>
        <w:t>Partarnir</w:t>
      </w:r>
      <w:bookmarkEnd w:id="0"/>
    </w:p>
    <w:p w14:paraId="6195586C" w14:textId="6E9E4A22" w:rsidR="00FA7494" w:rsidRDefault="00FA7494" w:rsidP="00570F9D">
      <w:r w:rsidRPr="00570F9D">
        <w:t>Útbjóðari</w:t>
      </w:r>
      <w:r w:rsidRPr="00E46D68">
        <w:rPr>
          <w:b/>
          <w:bCs/>
        </w:rPr>
        <w:t>:</w:t>
      </w:r>
      <w:r w:rsidR="00570F9D">
        <w:rPr>
          <w:b/>
          <w:bCs/>
        </w:rPr>
        <w:tab/>
      </w:r>
      <w:r>
        <w:t>Gjaldstovan við Keyp Landsins</w:t>
      </w:r>
    </w:p>
    <w:p w14:paraId="396E16F4" w14:textId="77777777" w:rsidR="00FA7494" w:rsidRDefault="00FA7494" w:rsidP="00570F9D">
      <w:pPr>
        <w:spacing w:line="240" w:lineRule="auto"/>
        <w:ind w:left="1440"/>
      </w:pPr>
      <w:r>
        <w:t>Kvíggjartún 1</w:t>
      </w:r>
    </w:p>
    <w:p w14:paraId="4F7361CF" w14:textId="77777777" w:rsidR="00FA7494" w:rsidRDefault="00FA7494" w:rsidP="00570F9D">
      <w:pPr>
        <w:spacing w:line="240" w:lineRule="auto"/>
        <w:ind w:left="1440"/>
      </w:pPr>
      <w:r>
        <w:t>160 Argir</w:t>
      </w:r>
    </w:p>
    <w:p w14:paraId="187C33DE" w14:textId="77777777" w:rsidR="00FA7494" w:rsidRDefault="00FA7494" w:rsidP="00570F9D">
      <w:pPr>
        <w:spacing w:line="240" w:lineRule="auto"/>
        <w:ind w:left="1440"/>
      </w:pPr>
      <w:r>
        <w:t>V-tal  343269</w:t>
      </w:r>
    </w:p>
    <w:p w14:paraId="6FDE942D" w14:textId="77777777" w:rsidR="00FA7494" w:rsidRDefault="00FA7494" w:rsidP="00570F9D">
      <w:pPr>
        <w:ind w:left="1440"/>
      </w:pPr>
      <w:r>
        <w:t xml:space="preserve">Ábyrgdari: Kim Hansen Fulltrúi, kim@gjaldstovan.fo , +298 281581. </w:t>
      </w:r>
    </w:p>
    <w:p w14:paraId="48E77BF5" w14:textId="77777777" w:rsidR="00FA7494" w:rsidRDefault="00FA7494" w:rsidP="00FA7494"/>
    <w:p w14:paraId="3EFDA013" w14:textId="14E7C2BE" w:rsidR="00FA7494" w:rsidRDefault="00FA7494" w:rsidP="00570F9D">
      <w:r w:rsidRPr="00570F9D">
        <w:t>Veitari</w:t>
      </w:r>
      <w:r w:rsidRPr="00C87D73">
        <w:rPr>
          <w:b/>
          <w:bCs/>
        </w:rPr>
        <w:t>:</w:t>
      </w:r>
      <w:r w:rsidR="00570F9D">
        <w:rPr>
          <w:b/>
          <w:bCs/>
        </w:rPr>
        <w:tab/>
      </w:r>
      <w:r w:rsidR="00570F9D">
        <w:rPr>
          <w:b/>
          <w:bCs/>
        </w:rPr>
        <w:tab/>
      </w:r>
      <w:r>
        <w:t>[Navn]</w:t>
      </w:r>
    </w:p>
    <w:p w14:paraId="22F2C88E" w14:textId="77777777" w:rsidR="00FA7494" w:rsidRDefault="00FA7494" w:rsidP="00570F9D">
      <w:pPr>
        <w:ind w:left="1440"/>
      </w:pPr>
      <w:r>
        <w:t>[Adressa]</w:t>
      </w:r>
    </w:p>
    <w:p w14:paraId="5704A648" w14:textId="77777777" w:rsidR="00FA7494" w:rsidRDefault="00FA7494" w:rsidP="00570F9D">
      <w:pPr>
        <w:ind w:left="1440"/>
      </w:pPr>
      <w:r>
        <w:t>[Postnr]</w:t>
      </w:r>
    </w:p>
    <w:p w14:paraId="686C08EC" w14:textId="77777777" w:rsidR="00FA7494" w:rsidRDefault="00FA7494" w:rsidP="00570F9D">
      <w:pPr>
        <w:ind w:left="1440"/>
      </w:pPr>
      <w:r>
        <w:t>[V-tal]</w:t>
      </w:r>
    </w:p>
    <w:p w14:paraId="139F2DBD" w14:textId="77777777" w:rsidR="00FA7494" w:rsidRPr="00516947" w:rsidRDefault="00FA7494" w:rsidP="00570F9D">
      <w:pPr>
        <w:ind w:left="1440"/>
      </w:pPr>
      <w:r>
        <w:t>Ábyrgdar: [Navn, teldurpostu, tlf]</w:t>
      </w:r>
    </w:p>
    <w:p w14:paraId="0BF00C2B" w14:textId="130F7962" w:rsidR="00FE182E" w:rsidRDefault="00FE182E" w:rsidP="00FE182E"/>
    <w:p w14:paraId="53B05B13" w14:textId="1E020EAF" w:rsidR="00FE182E" w:rsidRDefault="00FE182E" w:rsidP="00570F9D">
      <w:pPr>
        <w:pStyle w:val="Overskrift1"/>
      </w:pPr>
      <w:bookmarkStart w:id="1" w:name="_Toc74917026"/>
      <w:r>
        <w:t>Grundarlag</w:t>
      </w:r>
      <w:bookmarkEnd w:id="1"/>
    </w:p>
    <w:p w14:paraId="7A75091C" w14:textId="38A98720" w:rsidR="00FA7494" w:rsidRDefault="00FA7494" w:rsidP="00FA7494">
      <w:r>
        <w:t>Grundarlagið millum partarnar er:</w:t>
      </w:r>
    </w:p>
    <w:p w14:paraId="48A365B6" w14:textId="6DEB0427" w:rsidR="00FA7494" w:rsidRDefault="00FA7494" w:rsidP="0079506D">
      <w:pPr>
        <w:pStyle w:val="Listeafsnit"/>
        <w:numPr>
          <w:ilvl w:val="0"/>
          <w:numId w:val="2"/>
        </w:numPr>
        <w:ind w:left="1440"/>
      </w:pPr>
      <w:r>
        <w:t>Rammusáttmálin</w:t>
      </w:r>
      <w:r w:rsidR="00D47C89">
        <w:t xml:space="preserve">: </w:t>
      </w:r>
      <w:r w:rsidR="00DF79FC" w:rsidRPr="00992D1C">
        <w:t>Fylgiskjal A -</w:t>
      </w:r>
      <w:r w:rsidR="00DF79FC">
        <w:t xml:space="preserve"> </w:t>
      </w:r>
      <w:r w:rsidR="00D47C89">
        <w:t>[fílnavn]</w:t>
      </w:r>
    </w:p>
    <w:p w14:paraId="18F733D1" w14:textId="77777777" w:rsidR="00854CFA" w:rsidRPr="00992D1C" w:rsidRDefault="00FA7494" w:rsidP="0079506D">
      <w:pPr>
        <w:pStyle w:val="Listeafsnit"/>
        <w:numPr>
          <w:ilvl w:val="0"/>
          <w:numId w:val="7"/>
        </w:numPr>
        <w:ind w:left="1440"/>
      </w:pPr>
      <w:r>
        <w:t xml:space="preserve">Vørulisti: </w:t>
      </w:r>
      <w:r w:rsidR="00854CFA" w:rsidRPr="00992D1C">
        <w:t>Fylgiskjal B - “</w:t>
      </w:r>
      <w:r w:rsidR="00854CFA" w:rsidRPr="00CE16BB">
        <w:t xml:space="preserve">20210618 - vørulisti </w:t>
      </w:r>
      <w:r w:rsidR="00854CFA">
        <w:t>–</w:t>
      </w:r>
      <w:r w:rsidR="00854CFA" w:rsidRPr="00CE16BB">
        <w:t xml:space="preserve"> telduútgerð</w:t>
      </w:r>
      <w:r w:rsidR="00854CFA">
        <w:t>.xlsx</w:t>
      </w:r>
      <w:r w:rsidR="00854CFA" w:rsidRPr="00992D1C">
        <w:t xml:space="preserve">” </w:t>
      </w:r>
    </w:p>
    <w:p w14:paraId="39648BC0" w14:textId="62D19CA9" w:rsidR="005E2C45" w:rsidRDefault="00FA7494" w:rsidP="0079506D">
      <w:pPr>
        <w:pStyle w:val="Listeafsnit"/>
        <w:numPr>
          <w:ilvl w:val="0"/>
          <w:numId w:val="2"/>
        </w:numPr>
        <w:ind w:left="1440"/>
      </w:pPr>
      <w:r>
        <w:t xml:space="preserve">Innlatið tilboð: </w:t>
      </w:r>
      <w:r w:rsidR="0079506D">
        <w:tab/>
      </w:r>
      <w:r>
        <w:t xml:space="preserve">[fílnavn], </w:t>
      </w:r>
    </w:p>
    <w:p w14:paraId="05F48401" w14:textId="77777777" w:rsidR="005E2C45" w:rsidRDefault="00FA7494" w:rsidP="0079506D">
      <w:pPr>
        <w:pStyle w:val="Listeafsnit"/>
        <w:numPr>
          <w:ilvl w:val="3"/>
          <w:numId w:val="2"/>
        </w:numPr>
      </w:pPr>
      <w:r>
        <w:t xml:space="preserve">[fílnavn 2], </w:t>
      </w:r>
    </w:p>
    <w:p w14:paraId="7FDD2ABA" w14:textId="76DBAECC" w:rsidR="00FA7494" w:rsidRDefault="00FA7494" w:rsidP="0079506D">
      <w:pPr>
        <w:pStyle w:val="Listeafsnit"/>
        <w:numPr>
          <w:ilvl w:val="3"/>
          <w:numId w:val="2"/>
        </w:numPr>
      </w:pPr>
      <w:r>
        <w:t>[fílnavn 3]</w:t>
      </w:r>
    </w:p>
    <w:p w14:paraId="6B5AE458" w14:textId="552CB198" w:rsidR="00FE182E" w:rsidRDefault="00FA7494" w:rsidP="00570F9D">
      <w:pPr>
        <w:pStyle w:val="Overskrift1"/>
      </w:pPr>
      <w:bookmarkStart w:id="2" w:name="_Toc74917027"/>
      <w:r>
        <w:t>Tíðarskeið</w:t>
      </w:r>
      <w:bookmarkEnd w:id="2"/>
    </w:p>
    <w:p w14:paraId="3B9B24F0" w14:textId="73BE2E07" w:rsidR="00570F9D" w:rsidRDefault="00B7457D" w:rsidP="00FA7494">
      <w:r w:rsidRPr="000060FC">
        <w:rPr>
          <w:i/>
          <w:iCs/>
        </w:rPr>
        <w:t>Stk. 1.</w:t>
      </w:r>
      <w:r>
        <w:t xml:space="preserve"> </w:t>
      </w:r>
      <w:r w:rsidR="00FA7494">
        <w:t>Rammusáttmálin byrjar [dato]</w:t>
      </w:r>
      <w:r w:rsidR="00BB7E97">
        <w:t xml:space="preserve"> og</w:t>
      </w:r>
      <w:r w:rsidR="00FA7494">
        <w:t xml:space="preserve"> endar</w:t>
      </w:r>
      <w:r w:rsidR="009E6C47">
        <w:t xml:space="preserve"> uttan ávaring</w:t>
      </w:r>
      <w:r w:rsidR="00FA7494">
        <w:t xml:space="preserve"> [dato]</w:t>
      </w:r>
      <w:r w:rsidR="00570F9D">
        <w:t xml:space="preserve">. </w:t>
      </w:r>
    </w:p>
    <w:p w14:paraId="59C11327" w14:textId="25901F83" w:rsidR="00BB7E97" w:rsidRPr="00BB7E97" w:rsidRDefault="00BB7E97" w:rsidP="00FA7494">
      <w:r w:rsidRPr="00BB7E97">
        <w:rPr>
          <w:i/>
          <w:iCs/>
        </w:rPr>
        <w:t xml:space="preserve">Skt. 2. </w:t>
      </w:r>
      <w:r>
        <w:t xml:space="preserve">Rammusáttmálin kann leingjast upp til 1 ár um partarnir eru samdir um tað. </w:t>
      </w:r>
    </w:p>
    <w:p w14:paraId="07B79607" w14:textId="7EEAF278" w:rsidR="00FA7494" w:rsidRDefault="00570F9D" w:rsidP="00FA7494">
      <w:r w:rsidRPr="00570F9D">
        <w:rPr>
          <w:i/>
          <w:iCs/>
        </w:rPr>
        <w:t>Stk.</w:t>
      </w:r>
      <w:r w:rsidR="00BB7E97">
        <w:rPr>
          <w:i/>
          <w:iCs/>
        </w:rPr>
        <w:t>3</w:t>
      </w:r>
      <w:r w:rsidRPr="00570F9D">
        <w:rPr>
          <w:i/>
          <w:iCs/>
        </w:rPr>
        <w:t>.</w:t>
      </w:r>
      <w:r>
        <w:t xml:space="preserve"> Rammusáttmálin kann</w:t>
      </w:r>
      <w:r w:rsidR="00FA7494">
        <w:t xml:space="preserve"> nær sum helst sigast upp við 3 mánaðar fráboðanarfreist</w:t>
      </w:r>
      <w:r w:rsidR="0083085E">
        <w:t xml:space="preserve"> til síðsta í mánaðinum. </w:t>
      </w:r>
      <w:r w:rsidR="00D87E50">
        <w:t xml:space="preserve">Uppsøknin skal vera skriftlig. </w:t>
      </w:r>
    </w:p>
    <w:p w14:paraId="4ADD7ACD" w14:textId="77777777" w:rsidR="00FA7494" w:rsidRDefault="00FA7494" w:rsidP="00FA7494"/>
    <w:p w14:paraId="6DF710DA" w14:textId="2E848553" w:rsidR="00FE182E" w:rsidRDefault="00FA7494" w:rsidP="00570F9D">
      <w:pPr>
        <w:pStyle w:val="Overskrift1"/>
      </w:pPr>
      <w:bookmarkStart w:id="3" w:name="_Toc74917028"/>
      <w:r>
        <w:lastRenderedPageBreak/>
        <w:t>Vavi</w:t>
      </w:r>
      <w:bookmarkEnd w:id="3"/>
    </w:p>
    <w:p w14:paraId="19A4DA91" w14:textId="11325CAB" w:rsidR="001D7A2E" w:rsidRDefault="000060FC" w:rsidP="001D7A2E">
      <w:r>
        <w:rPr>
          <w:i/>
          <w:iCs/>
        </w:rPr>
        <w:t xml:space="preserve">Skt. 1. </w:t>
      </w:r>
      <w:r w:rsidR="0083085E">
        <w:t xml:space="preserve">Rammusáttmálin fyri innkeypsskipanina av telduútgerð fevnir um allar vørur, ið eru nevndar vørulistanum. </w:t>
      </w:r>
      <w:r w:rsidR="001D7A2E">
        <w:t xml:space="preserve">Talan er um vanliga telduútgerð i samband við eitt vanligt arbeiðspláss. Talan er ikki um teldútgerð sum er til serliga nýtslu, t.d. tól, ið seta serligan tørv til útgerðina. </w:t>
      </w:r>
    </w:p>
    <w:p w14:paraId="56BA0CBD" w14:textId="77777777" w:rsidR="00692D0F" w:rsidRDefault="0083085E" w:rsidP="001D7A2E">
      <w:r w:rsidRPr="00304A81">
        <w:rPr>
          <w:i/>
          <w:iCs/>
        </w:rPr>
        <w:t>Stk. 2.</w:t>
      </w:r>
      <w:r>
        <w:t xml:space="preserve"> </w:t>
      </w:r>
      <w:r w:rsidR="00E729D9">
        <w:t>R</w:t>
      </w:r>
      <w:r>
        <w:t>ætt</w:t>
      </w:r>
      <w:r w:rsidR="00E729D9">
        <w:t>in</w:t>
      </w:r>
      <w:r>
        <w:t xml:space="preserve"> til at keypa inn eftir hesum sáttmála </w:t>
      </w:r>
      <w:r w:rsidR="00FB3882">
        <w:t>hava</w:t>
      </w:r>
      <w:r>
        <w:t xml:space="preserve"> øll, ið eru </w:t>
      </w:r>
      <w:r w:rsidR="004A0F40">
        <w:t xml:space="preserve">bundin </w:t>
      </w:r>
      <w:r w:rsidR="00D06965">
        <w:t>av bundnir av “Rundskriv nr. 9003 frá 1. Juli 2019 um keyp av vørum og tænastum”</w:t>
      </w:r>
      <w:r w:rsidR="00987669">
        <w:t>, undantikið er Sjúkrahúsverkið</w:t>
      </w:r>
      <w:r w:rsidR="00692D0F">
        <w:t xml:space="preserve">. </w:t>
      </w:r>
    </w:p>
    <w:p w14:paraId="58CE254F" w14:textId="46A10689" w:rsidR="00D06965" w:rsidRDefault="007E77F9" w:rsidP="001D7A2E">
      <w:r w:rsidRPr="007E77F9">
        <w:rPr>
          <w:i/>
          <w:iCs/>
        </w:rPr>
        <w:t>S</w:t>
      </w:r>
      <w:r w:rsidR="00692D0F" w:rsidRPr="007E77F9">
        <w:rPr>
          <w:i/>
          <w:iCs/>
        </w:rPr>
        <w:t>tk</w:t>
      </w:r>
      <w:r w:rsidRPr="007E77F9">
        <w:rPr>
          <w:i/>
          <w:iCs/>
        </w:rPr>
        <w:t>. 3.</w:t>
      </w:r>
      <w:r>
        <w:t xml:space="preserve"> Aðrir almennir stovnar o.</w:t>
      </w:r>
      <w:r w:rsidR="005168CA">
        <w:t>o</w:t>
      </w:r>
      <w:r>
        <w:t>.</w:t>
      </w:r>
      <w:r w:rsidR="0079778C">
        <w:t>, ið ikki eru bundin av rundskrivinum</w:t>
      </w:r>
      <w:r w:rsidR="007E6E57">
        <w:t>,</w:t>
      </w:r>
      <w:r w:rsidR="0079778C">
        <w:t xml:space="preserve"> kunnu brúka sáttmálan á frívilligum basis. </w:t>
      </w:r>
    </w:p>
    <w:p w14:paraId="56FF4A60" w14:textId="0BD963F4" w:rsidR="0083085E" w:rsidRDefault="0083085E" w:rsidP="0083085E">
      <w:r w:rsidRPr="007E77F9">
        <w:rPr>
          <w:i/>
          <w:iCs/>
        </w:rPr>
        <w:t xml:space="preserve">Stk. </w:t>
      </w:r>
      <w:r w:rsidR="007E77F9" w:rsidRPr="007E77F9">
        <w:rPr>
          <w:i/>
          <w:iCs/>
        </w:rPr>
        <w:t>4</w:t>
      </w:r>
      <w:r w:rsidRPr="007E77F9">
        <w:rPr>
          <w:i/>
          <w:iCs/>
        </w:rPr>
        <w:t>.</w:t>
      </w:r>
      <w:r>
        <w:t xml:space="preserve"> </w:t>
      </w:r>
      <w:r w:rsidR="004A79AC">
        <w:t>Gjaldstovan</w:t>
      </w:r>
      <w:r>
        <w:t xml:space="preserve"> kann av sínum eintingum</w:t>
      </w:r>
      <w:r w:rsidR="00C37EEC">
        <w:t>,</w:t>
      </w:r>
      <w:r>
        <w:t xml:space="preserve"> og uttan umkostningar</w:t>
      </w:r>
      <w:r w:rsidR="00C37EEC">
        <w:t>, l</w:t>
      </w:r>
      <w:r w:rsidR="00377EAB">
        <w:t>oyva brúkarum at nýta sáttmálan</w:t>
      </w:r>
      <w:r w:rsidR="007C6589">
        <w:t>,</w:t>
      </w:r>
      <w:r w:rsidR="00377EAB">
        <w:t xml:space="preserve"> t.d. </w:t>
      </w:r>
      <w:r w:rsidR="004A79AC">
        <w:t>kommunu</w:t>
      </w:r>
      <w:r w:rsidR="00377EAB">
        <w:t>m</w:t>
      </w:r>
      <w:r>
        <w:t>, skúl</w:t>
      </w:r>
      <w:r w:rsidR="00377EAB">
        <w:t>um</w:t>
      </w:r>
      <w:r>
        <w:t>, næming</w:t>
      </w:r>
      <w:r w:rsidR="00377EAB">
        <w:t>um</w:t>
      </w:r>
      <w:r>
        <w:t xml:space="preserve"> o.</w:t>
      </w:r>
      <w:r w:rsidR="00377EAB">
        <w:t xml:space="preserve">s.fr. </w:t>
      </w:r>
    </w:p>
    <w:p w14:paraId="1AD531AC" w14:textId="71B05396" w:rsidR="0083085E" w:rsidRDefault="0083085E" w:rsidP="0083085E">
      <w:r w:rsidRPr="007E77F9">
        <w:rPr>
          <w:i/>
          <w:iCs/>
        </w:rPr>
        <w:t xml:space="preserve">Stk. </w:t>
      </w:r>
      <w:r w:rsidR="007E77F9" w:rsidRPr="007E77F9">
        <w:rPr>
          <w:i/>
          <w:iCs/>
        </w:rPr>
        <w:t>5</w:t>
      </w:r>
      <w:r w:rsidRPr="007E77F9">
        <w:rPr>
          <w:i/>
          <w:iCs/>
        </w:rPr>
        <w:t>.</w:t>
      </w:r>
      <w:r>
        <w:t xml:space="preserve"> </w:t>
      </w:r>
      <w:r w:rsidR="004150D2">
        <w:t>Gjaldstovan, stovnar o.</w:t>
      </w:r>
      <w:r w:rsidR="009B549F">
        <w:t>o</w:t>
      </w:r>
      <w:r w:rsidR="004150D2">
        <w:t xml:space="preserve">. </w:t>
      </w:r>
      <w:r>
        <w:t>er</w:t>
      </w:r>
      <w:r w:rsidR="001918C4">
        <w:t>u</w:t>
      </w:r>
      <w:r w:rsidR="007D2475">
        <w:t xml:space="preserve"> </w:t>
      </w:r>
      <w:r w:rsidR="007D2475" w:rsidRPr="007D2475">
        <w:rPr>
          <w:u w:val="single"/>
        </w:rPr>
        <w:t>IKKI</w:t>
      </w:r>
      <w:r>
        <w:t xml:space="preserve"> bundin, at keypa ávísa mongd av nakrari vøru. </w:t>
      </w:r>
    </w:p>
    <w:p w14:paraId="14839ACE" w14:textId="77777777" w:rsidR="00C37EEC" w:rsidRDefault="00C37EEC" w:rsidP="0083085E"/>
    <w:p w14:paraId="508B3FA9" w14:textId="3874EBE7" w:rsidR="00FE182E" w:rsidRDefault="00DD0FC7" w:rsidP="00FE182E">
      <w:pPr>
        <w:pStyle w:val="Overskrift1"/>
      </w:pPr>
      <w:bookmarkStart w:id="4" w:name="_Toc74917029"/>
      <w:r>
        <w:t>Heimild</w:t>
      </w:r>
      <w:bookmarkEnd w:id="4"/>
    </w:p>
    <w:p w14:paraId="09FF7048" w14:textId="4359A7DB" w:rsidR="002C7D25" w:rsidRDefault="00864590" w:rsidP="00864590">
      <w:r w:rsidRPr="003122AF">
        <w:rPr>
          <w:i/>
          <w:iCs/>
        </w:rPr>
        <w:t>Stk. 1.</w:t>
      </w:r>
      <w:r>
        <w:t xml:space="preserve"> </w:t>
      </w:r>
      <w:r w:rsidR="00894F8E">
        <w:t>Gjaldstovan</w:t>
      </w:r>
      <w:r>
        <w:t xml:space="preserve"> bindir </w:t>
      </w:r>
      <w:r w:rsidR="003D0F46">
        <w:t xml:space="preserve">stovnar undir landinum </w:t>
      </w:r>
      <w:r w:rsidR="00FB588C">
        <w:t xml:space="preserve">í samsvar </w:t>
      </w:r>
      <w:r w:rsidR="00892AB4">
        <w:t xml:space="preserve">við </w:t>
      </w:r>
      <w:r w:rsidR="00B13FD8">
        <w:t>“Rundskriv nr. 9003 frá 1. juli 2019 um keyp av vørum og tænastum”</w:t>
      </w:r>
      <w:r>
        <w:t>, til bert at keypa vørur</w:t>
      </w:r>
      <w:r w:rsidR="00914C60">
        <w:t>,</w:t>
      </w:r>
      <w:r>
        <w:t xml:space="preserve"> fevndar av hesum sáttmála, </w:t>
      </w:r>
      <w:r w:rsidR="00914C60">
        <w:t>frá Veitara</w:t>
      </w:r>
      <w:r w:rsidR="004D1CD2">
        <w:t xml:space="preserve">, </w:t>
      </w:r>
      <w:r w:rsidR="00002012">
        <w:t>so leingi sáttmálin er galdandi</w:t>
      </w:r>
      <w:r w:rsidR="00264A02">
        <w:t xml:space="preserve">, </w:t>
      </w:r>
      <w:r w:rsidR="00264A02">
        <w:t xml:space="preserve">undantikið er Sjúkrahúsverkið. </w:t>
      </w:r>
      <w:r w:rsidR="00002012">
        <w:t xml:space="preserve"> </w:t>
      </w:r>
    </w:p>
    <w:p w14:paraId="51870DCE" w14:textId="0600D9D1" w:rsidR="00864590" w:rsidRDefault="002C7D25" w:rsidP="00864590">
      <w:r w:rsidRPr="00FC37CF">
        <w:rPr>
          <w:i/>
          <w:iCs/>
        </w:rPr>
        <w:t xml:space="preserve">Stk. </w:t>
      </w:r>
      <w:r w:rsidR="008B7801">
        <w:rPr>
          <w:i/>
          <w:iCs/>
        </w:rPr>
        <w:t>2</w:t>
      </w:r>
      <w:r w:rsidRPr="00FC37CF">
        <w:rPr>
          <w:i/>
          <w:iCs/>
        </w:rPr>
        <w:t>.</w:t>
      </w:r>
      <w:r>
        <w:t xml:space="preserve"> </w:t>
      </w:r>
      <w:r w:rsidR="00864590">
        <w:t xml:space="preserve">Er </w:t>
      </w:r>
      <w:r w:rsidR="00916A19">
        <w:t>V</w:t>
      </w:r>
      <w:r w:rsidR="00864590">
        <w:t>eitari vitandi um</w:t>
      </w:r>
      <w:r w:rsidR="00ED0957">
        <w:t xml:space="preserve"> </w:t>
      </w:r>
      <w:r w:rsidR="003A770F">
        <w:t xml:space="preserve">at </w:t>
      </w:r>
      <w:r w:rsidR="00ED0957">
        <w:t>keyp</w:t>
      </w:r>
      <w:r w:rsidR="00864590">
        <w:t xml:space="preserve">, </w:t>
      </w:r>
      <w:r w:rsidR="00800A18">
        <w:t>bundi</w:t>
      </w:r>
      <w:r w:rsidR="00C44748">
        <w:t>ð</w:t>
      </w:r>
      <w:r w:rsidR="00864590">
        <w:t xml:space="preserve"> av hesum sáttmála</w:t>
      </w:r>
      <w:r w:rsidR="00ED0957">
        <w:t>,</w:t>
      </w:r>
      <w:r w:rsidR="00864590">
        <w:t xml:space="preserve"> fer fram uttanum sáttmálan, hevur Veitari skyldu til at boða </w:t>
      </w:r>
      <w:r w:rsidR="00DC3911">
        <w:t>Gjaldstovuni</w:t>
      </w:r>
      <w:r w:rsidR="00864590">
        <w:t xml:space="preserve"> frá</w:t>
      </w:r>
      <w:r w:rsidR="002E391F">
        <w:t xml:space="preserve"> skjótast møguligt. </w:t>
      </w:r>
    </w:p>
    <w:p w14:paraId="6F1C5A10" w14:textId="3EBAA9FB" w:rsidR="003122AF" w:rsidRDefault="003122AF" w:rsidP="003122AF">
      <w:r>
        <w:rPr>
          <w:i/>
          <w:iCs/>
        </w:rPr>
        <w:t xml:space="preserve">Stk. </w:t>
      </w:r>
      <w:r w:rsidR="008B7801">
        <w:rPr>
          <w:i/>
          <w:iCs/>
        </w:rPr>
        <w:t>3</w:t>
      </w:r>
      <w:r>
        <w:rPr>
          <w:i/>
          <w:iCs/>
        </w:rPr>
        <w:t xml:space="preserve">. </w:t>
      </w:r>
      <w:r w:rsidR="00295494">
        <w:t>Stovnar, ið hava rætt at brúka rammusáttmálan</w:t>
      </w:r>
      <w:r w:rsidR="00FE1DF7">
        <w:t xml:space="preserve">, kunnu </w:t>
      </w:r>
      <w:r w:rsidR="0070689D">
        <w:t xml:space="preserve">handla </w:t>
      </w:r>
      <w:r w:rsidR="00FE1DF7">
        <w:t>vørur</w:t>
      </w:r>
      <w:r w:rsidR="00715A7F">
        <w:t>,</w:t>
      </w:r>
      <w:r w:rsidR="00FE1DF7">
        <w:t xml:space="preserve"> fev</w:t>
      </w:r>
      <w:r w:rsidR="0070689D">
        <w:t>n</w:t>
      </w:r>
      <w:r w:rsidR="00FE1DF7">
        <w:t xml:space="preserve">dar av sáttmálanum, sínamillum. </w:t>
      </w:r>
    </w:p>
    <w:p w14:paraId="466AC994" w14:textId="77777777" w:rsidR="009C444D" w:rsidRDefault="009C444D" w:rsidP="00FA7494"/>
    <w:p w14:paraId="61305DEA" w14:textId="5B8FA402" w:rsidR="00FA7494" w:rsidRPr="00FA7494" w:rsidRDefault="00FA7494" w:rsidP="000261C8">
      <w:pPr>
        <w:pStyle w:val="Overskrift1"/>
      </w:pPr>
      <w:bookmarkStart w:id="5" w:name="_Toc74917030"/>
      <w:r>
        <w:t>Innkeyp</w:t>
      </w:r>
      <w:bookmarkEnd w:id="5"/>
      <w:r w:rsidR="008476DE">
        <w:t xml:space="preserve"> </w:t>
      </w:r>
    </w:p>
    <w:p w14:paraId="33A94455" w14:textId="63921498" w:rsidR="00D22101" w:rsidRDefault="00532AA3" w:rsidP="00532AA3">
      <w:r>
        <w:rPr>
          <w:i/>
          <w:iCs/>
        </w:rPr>
        <w:t>Stk</w:t>
      </w:r>
      <w:r w:rsidR="00775EF2">
        <w:rPr>
          <w:i/>
          <w:iCs/>
        </w:rPr>
        <w:t xml:space="preserve">. </w:t>
      </w:r>
      <w:r>
        <w:rPr>
          <w:i/>
          <w:iCs/>
        </w:rPr>
        <w:t xml:space="preserve">1. </w:t>
      </w:r>
      <w:r>
        <w:t xml:space="preserve"> Veitari skal </w:t>
      </w:r>
      <w:r w:rsidR="009E5A21">
        <w:t xml:space="preserve">hava </w:t>
      </w:r>
      <w:r>
        <w:t>heimasíðu, har alt innkeyp</w:t>
      </w:r>
      <w:r w:rsidR="0030649D">
        <w:t>, og bara innkeyp,</w:t>
      </w:r>
      <w:r>
        <w:t xml:space="preserve"> eftir hesum sáttmála </w:t>
      </w:r>
      <w:r w:rsidR="00D22101">
        <w:t>fer</w:t>
      </w:r>
      <w:r>
        <w:t xml:space="preserve"> fram. </w:t>
      </w:r>
      <w:r w:rsidR="003862D1">
        <w:t>Veitari hevur skyldu til</w:t>
      </w:r>
      <w:r w:rsidR="00F8017B">
        <w:t xml:space="preserve">, uttan </w:t>
      </w:r>
      <w:r w:rsidR="00C761E4">
        <w:t>kostnað</w:t>
      </w:r>
      <w:r w:rsidR="00F8017B">
        <w:t xml:space="preserve"> fyri </w:t>
      </w:r>
      <w:r w:rsidR="000916BA">
        <w:t>Gjaldstovuna ella stovnar</w:t>
      </w:r>
      <w:r w:rsidR="00F8017B">
        <w:t>,</w:t>
      </w:r>
      <w:r w:rsidR="003862D1">
        <w:t xml:space="preserve"> at gera</w:t>
      </w:r>
      <w:r w:rsidR="00F8017B">
        <w:t xml:space="preserve"> sítt til, at heimasíðan altíð er virkin. </w:t>
      </w:r>
    </w:p>
    <w:p w14:paraId="0FC331BA" w14:textId="3F8B32EC" w:rsidR="00F2199C" w:rsidRDefault="00BC318D" w:rsidP="00F2199C">
      <w:r>
        <w:rPr>
          <w:i/>
          <w:iCs/>
        </w:rPr>
        <w:t xml:space="preserve">Skt </w:t>
      </w:r>
      <w:r w:rsidR="00300B91">
        <w:rPr>
          <w:i/>
          <w:iCs/>
        </w:rPr>
        <w:t>2</w:t>
      </w:r>
      <w:r>
        <w:rPr>
          <w:i/>
          <w:iCs/>
        </w:rPr>
        <w:t>.</w:t>
      </w:r>
      <w:r w:rsidR="00F2199C" w:rsidRPr="00F2199C">
        <w:t xml:space="preserve"> </w:t>
      </w:r>
      <w:r w:rsidR="00F2199C">
        <w:t>Um tað av einhvørjari orsøk ikki er møguligt at keypa umvegis heimasíðuna</w:t>
      </w:r>
      <w:r w:rsidR="00256CF1">
        <w:t>,</w:t>
      </w:r>
      <w:r w:rsidR="00F2199C">
        <w:t xml:space="preserve"> skal vera møguligt at bíleggja vøruna umvegis teldupost ella telefon, og Veitarin hevur skyldu</w:t>
      </w:r>
      <w:r w:rsidR="00F65611">
        <w:t>, uttan drál,</w:t>
      </w:r>
      <w:r w:rsidR="00F2199C">
        <w:t xml:space="preserve"> at skrásetta </w:t>
      </w:r>
      <w:r w:rsidR="00405323">
        <w:t xml:space="preserve">hetta </w:t>
      </w:r>
      <w:r w:rsidR="00F2199C">
        <w:t xml:space="preserve">í skipanini eftirfylgjandi. </w:t>
      </w:r>
    </w:p>
    <w:p w14:paraId="73E755DF" w14:textId="25FE2D1D" w:rsidR="00300B91" w:rsidRDefault="00300B91" w:rsidP="00300B91">
      <w:r>
        <w:rPr>
          <w:i/>
          <w:iCs/>
        </w:rPr>
        <w:t xml:space="preserve">Skt. 3. </w:t>
      </w:r>
      <w:r>
        <w:t xml:space="preserve">Til hvørja vøru, skal í minsta lagi vera møguligt at síggja eina greiða vørulýsing og prís </w:t>
      </w:r>
      <w:r w:rsidR="00EF40F5">
        <w:t xml:space="preserve">við og uttan </w:t>
      </w:r>
      <w:r>
        <w:t xml:space="preserve">MVG. </w:t>
      </w:r>
    </w:p>
    <w:p w14:paraId="2DEC4F50" w14:textId="6722B76A" w:rsidR="0069508B" w:rsidRDefault="0069508B" w:rsidP="0069508B">
      <w:r>
        <w:t xml:space="preserve">Stk. 4. </w:t>
      </w:r>
      <w:r w:rsidR="00C97211">
        <w:t>Keyparin</w:t>
      </w:r>
      <w:r>
        <w:t xml:space="preserve"> skal fáa ein ordraváttan og kann broyta í henni innan kl. 16 fyrsta arbeiðsdag eftir bíleggingad</w:t>
      </w:r>
      <w:r w:rsidR="00C97211">
        <w:t>agin</w:t>
      </w:r>
      <w:r>
        <w:t xml:space="preserve">. </w:t>
      </w:r>
    </w:p>
    <w:p w14:paraId="3626FBF8" w14:textId="77777777" w:rsidR="00B14FAF" w:rsidRDefault="00F023DE" w:rsidP="0069508B">
      <w:r>
        <w:lastRenderedPageBreak/>
        <w:t xml:space="preserve">Stk. 5. </w:t>
      </w:r>
      <w:r w:rsidR="00B14FAF">
        <w:t>Til hvønn ordra, skal við viðfestast ein fylgiseðil, ið inniheldur:</w:t>
      </w:r>
    </w:p>
    <w:p w14:paraId="50321B55" w14:textId="674C824F" w:rsidR="00E04C3A" w:rsidRDefault="00E04C3A" w:rsidP="00971ECF">
      <w:pPr>
        <w:pStyle w:val="Listeafsnit"/>
        <w:numPr>
          <w:ilvl w:val="0"/>
          <w:numId w:val="2"/>
        </w:numPr>
      </w:pPr>
      <w:r>
        <w:t>Navn á Veitara</w:t>
      </w:r>
    </w:p>
    <w:p w14:paraId="7870221A" w14:textId="3A1F35C8" w:rsidR="00971ECF" w:rsidRDefault="00450225" w:rsidP="00971ECF">
      <w:pPr>
        <w:pStyle w:val="Listeafsnit"/>
        <w:numPr>
          <w:ilvl w:val="0"/>
          <w:numId w:val="2"/>
        </w:numPr>
      </w:pPr>
      <w:r>
        <w:t>Navn og n</w:t>
      </w:r>
      <w:r w:rsidR="00971ECF">
        <w:t>ummar á rammusáttmála</w:t>
      </w:r>
    </w:p>
    <w:p w14:paraId="45B485FC" w14:textId="65B4C830" w:rsidR="00971ECF" w:rsidRDefault="00FC291E" w:rsidP="00971ECF">
      <w:pPr>
        <w:pStyle w:val="Listeafsnit"/>
        <w:numPr>
          <w:ilvl w:val="0"/>
          <w:numId w:val="2"/>
        </w:numPr>
      </w:pPr>
      <w:r>
        <w:t xml:space="preserve">Navn </w:t>
      </w:r>
      <w:r w:rsidR="00450225">
        <w:t xml:space="preserve">og nummar á </w:t>
      </w:r>
      <w:r>
        <w:t xml:space="preserve">stovni </w:t>
      </w:r>
    </w:p>
    <w:p w14:paraId="52B15A2D" w14:textId="3606B872" w:rsidR="00CB610E" w:rsidRDefault="00CB610E" w:rsidP="00971ECF">
      <w:pPr>
        <w:pStyle w:val="Listeafsnit"/>
        <w:numPr>
          <w:ilvl w:val="0"/>
          <w:numId w:val="2"/>
        </w:numPr>
      </w:pPr>
      <w:r>
        <w:t>Adressuupplýsingar</w:t>
      </w:r>
      <w:r w:rsidR="001129FB">
        <w:t xml:space="preserve"> á </w:t>
      </w:r>
      <w:r w:rsidR="003B477C">
        <w:t>stovni</w:t>
      </w:r>
    </w:p>
    <w:p w14:paraId="248141D0" w14:textId="7644B288" w:rsidR="00ED0EC6" w:rsidRDefault="00CB610E" w:rsidP="003074A2">
      <w:pPr>
        <w:pStyle w:val="Listeafsnit"/>
        <w:numPr>
          <w:ilvl w:val="0"/>
          <w:numId w:val="2"/>
        </w:numPr>
      </w:pPr>
      <w:r>
        <w:t>Vør</w:t>
      </w:r>
      <w:r w:rsidR="001129FB">
        <w:t>unavn og nummar</w:t>
      </w:r>
    </w:p>
    <w:p w14:paraId="448211AE" w14:textId="4D6F01DA" w:rsidR="001129FB" w:rsidRDefault="007F5F6B" w:rsidP="003074A2">
      <w:pPr>
        <w:pStyle w:val="Listeafsnit"/>
        <w:numPr>
          <w:ilvl w:val="0"/>
          <w:numId w:val="2"/>
        </w:numPr>
      </w:pPr>
      <w:r>
        <w:t>Fakturanummar</w:t>
      </w:r>
    </w:p>
    <w:p w14:paraId="36A6EB54" w14:textId="2A4D0D03" w:rsidR="007F5F6B" w:rsidRDefault="007F5F6B" w:rsidP="003074A2">
      <w:pPr>
        <w:pStyle w:val="Listeafsnit"/>
        <w:numPr>
          <w:ilvl w:val="0"/>
          <w:numId w:val="2"/>
        </w:numPr>
      </w:pPr>
      <w:r>
        <w:t>Fakturalinjunummar</w:t>
      </w:r>
    </w:p>
    <w:p w14:paraId="68F8F42B" w14:textId="0315F6E8" w:rsidR="007F5F6B" w:rsidRDefault="007F5F6B" w:rsidP="003074A2">
      <w:pPr>
        <w:pStyle w:val="Listeafsnit"/>
        <w:numPr>
          <w:ilvl w:val="0"/>
          <w:numId w:val="2"/>
        </w:numPr>
      </w:pPr>
      <w:r>
        <w:t>Tal av vørum</w:t>
      </w:r>
    </w:p>
    <w:p w14:paraId="7CADD228" w14:textId="7CFF7BA7" w:rsidR="00FB0ADD" w:rsidRDefault="00FB0ADD" w:rsidP="003074A2">
      <w:pPr>
        <w:pStyle w:val="Listeafsnit"/>
        <w:numPr>
          <w:ilvl w:val="0"/>
          <w:numId w:val="2"/>
        </w:numPr>
      </w:pPr>
      <w:r>
        <w:t>Prísur við og uttan MVG</w:t>
      </w:r>
    </w:p>
    <w:p w14:paraId="7037AA8E" w14:textId="7F962C52" w:rsidR="00FB0ADD" w:rsidRDefault="00FB0ADD" w:rsidP="003074A2">
      <w:pPr>
        <w:pStyle w:val="Listeafsnit"/>
        <w:numPr>
          <w:ilvl w:val="0"/>
          <w:numId w:val="2"/>
        </w:numPr>
      </w:pPr>
      <w:r>
        <w:t>Dato fyri bílegging</w:t>
      </w:r>
    </w:p>
    <w:p w14:paraId="3F2F303E" w14:textId="325406B6" w:rsidR="00410A44" w:rsidRDefault="00410A44" w:rsidP="003074A2">
      <w:pPr>
        <w:pStyle w:val="Listeafsnit"/>
        <w:numPr>
          <w:ilvl w:val="0"/>
          <w:numId w:val="2"/>
        </w:numPr>
      </w:pPr>
      <w:r>
        <w:t>Seriunummar</w:t>
      </w:r>
    </w:p>
    <w:p w14:paraId="3880275A" w14:textId="77777777" w:rsidR="007E5B8F" w:rsidRDefault="007E5B8F" w:rsidP="005E320B">
      <w:pPr>
        <w:pStyle w:val="Listeafsnit"/>
        <w:ind w:left="1440"/>
      </w:pPr>
    </w:p>
    <w:p w14:paraId="78F99AA1" w14:textId="2631C7D3" w:rsidR="00835CF7" w:rsidRDefault="00835CF7" w:rsidP="00835CF7">
      <w:r>
        <w:t xml:space="preserve">Stk </w:t>
      </w:r>
      <w:r w:rsidR="00CB610E">
        <w:t>6</w:t>
      </w:r>
      <w:r>
        <w:t xml:space="preserve">. Allar rokningar til </w:t>
      </w:r>
      <w:r w:rsidR="002F714E">
        <w:t>stovnar</w:t>
      </w:r>
      <w:r>
        <w:t xml:space="preserve">, skulu vera í formatinum OIO-UBL. </w:t>
      </w:r>
      <w:r w:rsidR="007440CF">
        <w:t xml:space="preserve">Aftrat vanligu fakturaupplýsingunum, skal </w:t>
      </w:r>
      <w:r w:rsidR="00111E92">
        <w:t xml:space="preserve">rammusáttmáli og </w:t>
      </w:r>
      <w:r w:rsidR="009458DA">
        <w:t>stovnur</w:t>
      </w:r>
      <w:r w:rsidR="009725CC">
        <w:t xml:space="preserve"> framganga. </w:t>
      </w:r>
    </w:p>
    <w:p w14:paraId="5A0C15C6" w14:textId="42C6A93A" w:rsidR="009116BF" w:rsidRDefault="009116BF" w:rsidP="00835CF7">
      <w:r>
        <w:t xml:space="preserve">Stk. </w:t>
      </w:r>
      <w:r w:rsidR="00FB0ADD">
        <w:t>7</w:t>
      </w:r>
      <w:r>
        <w:t xml:space="preserve">. Gjaldsfreistin er </w:t>
      </w:r>
      <w:r w:rsidR="00CA5D8D">
        <w:t xml:space="preserve">30 dagar pluss inniverandi mánaða. </w:t>
      </w:r>
    </w:p>
    <w:p w14:paraId="2ED1F3FF" w14:textId="15E28DB7" w:rsidR="00304A81" w:rsidRDefault="008432EC" w:rsidP="00304A81">
      <w:r>
        <w:t xml:space="preserve">Stk. </w:t>
      </w:r>
      <w:r w:rsidR="00FB0ADD">
        <w:t>8</w:t>
      </w:r>
      <w:r>
        <w:t xml:space="preserve">. Vøran skal avhendast á adressuni hjá brúkarinum, uttan umkostningar, millum kl. 9-16 ella eftir nærri avtalu. </w:t>
      </w:r>
    </w:p>
    <w:p w14:paraId="4495BBC4" w14:textId="715042FC" w:rsidR="008247AA" w:rsidRPr="008247AA" w:rsidRDefault="008247AA" w:rsidP="00304A81">
      <w:r>
        <w:t>Stk. 9. V</w:t>
      </w:r>
      <w:r w:rsidRPr="008247AA">
        <w:t xml:space="preserve">eitarin </w:t>
      </w:r>
      <w:r w:rsidR="00337890">
        <w:t xml:space="preserve">skal hava </w:t>
      </w:r>
      <w:r w:rsidRPr="008247AA">
        <w:t xml:space="preserve">møguleika </w:t>
      </w:r>
      <w:r w:rsidR="00337890">
        <w:t xml:space="preserve">fyri, </w:t>
      </w:r>
      <w:r w:rsidRPr="008247AA">
        <w:t>at skráseta teldurnar í InTune</w:t>
      </w:r>
    </w:p>
    <w:p w14:paraId="2576BFCD" w14:textId="0AAEFE7C" w:rsidR="00A44E00" w:rsidRDefault="00FC5751" w:rsidP="00A44E00">
      <w:r>
        <w:t xml:space="preserve">Stk. </w:t>
      </w:r>
      <w:r w:rsidR="008247AA">
        <w:t>10</w:t>
      </w:r>
      <w:r>
        <w:t xml:space="preserve">. </w:t>
      </w:r>
      <w:r w:rsidR="008432EC">
        <w:t xml:space="preserve">Um ikki annað er avtalað, er </w:t>
      </w:r>
      <w:r w:rsidR="00226C29">
        <w:t>veitingartíðin:</w:t>
      </w:r>
    </w:p>
    <w:p w14:paraId="6F5A788E" w14:textId="4B9F298F" w:rsidR="008432EC" w:rsidRDefault="008432EC" w:rsidP="00A44E00">
      <w:pPr>
        <w:pStyle w:val="Listeafsnit"/>
        <w:numPr>
          <w:ilvl w:val="0"/>
          <w:numId w:val="6"/>
        </w:numPr>
      </w:pPr>
      <w:r>
        <w:t>1-3 teldur</w:t>
      </w:r>
      <w:r w:rsidR="001E65B7">
        <w:t xml:space="preserve">, </w:t>
      </w:r>
      <w:r w:rsidR="00A44E00">
        <w:t>skýggjar</w:t>
      </w:r>
      <w:r>
        <w:t xml:space="preserve">, </w:t>
      </w:r>
      <w:r w:rsidR="006E6B11">
        <w:rPr>
          <w:rFonts w:eastAsia="Times New Roman"/>
          <w:color w:val="000000"/>
        </w:rPr>
        <w:t>dockingstøðir, keyboard og mús</w:t>
      </w:r>
      <w:r w:rsidR="001E65B7">
        <w:rPr>
          <w:rFonts w:eastAsia="Times New Roman"/>
          <w:color w:val="000000"/>
        </w:rPr>
        <w:t xml:space="preserve">, </w:t>
      </w:r>
      <w:r>
        <w:t xml:space="preserve"> 1 dag </w:t>
      </w:r>
    </w:p>
    <w:p w14:paraId="7CCFD119" w14:textId="0363295C" w:rsidR="008432EC" w:rsidRDefault="008432EC" w:rsidP="008432EC">
      <w:pPr>
        <w:pStyle w:val="Listeafsnit"/>
        <w:numPr>
          <w:ilvl w:val="1"/>
          <w:numId w:val="3"/>
        </w:numPr>
      </w:pPr>
      <w:r>
        <w:t xml:space="preserve">3-10 </w:t>
      </w:r>
      <w:r w:rsidR="001E65B7">
        <w:t xml:space="preserve">teldur, skýggjar, </w:t>
      </w:r>
      <w:r w:rsidR="001E65B7">
        <w:rPr>
          <w:rFonts w:eastAsia="Times New Roman"/>
          <w:color w:val="000000"/>
        </w:rPr>
        <w:t>dockingstøðir, keyboard og mús,</w:t>
      </w:r>
      <w:r>
        <w:t xml:space="preserve"> 7 dagar</w:t>
      </w:r>
    </w:p>
    <w:p w14:paraId="4B95B37A" w14:textId="5581FB4E" w:rsidR="008432EC" w:rsidRDefault="008432EC" w:rsidP="008432EC">
      <w:pPr>
        <w:pStyle w:val="Listeafsnit"/>
        <w:numPr>
          <w:ilvl w:val="1"/>
          <w:numId w:val="3"/>
        </w:numPr>
      </w:pPr>
      <w:r>
        <w:t>Fleiri enn 10</w:t>
      </w:r>
      <w:r w:rsidR="00A44E00">
        <w:t xml:space="preserve"> </w:t>
      </w:r>
      <w:r w:rsidR="001E65B7">
        <w:t xml:space="preserve">teldur, skýggjar, </w:t>
      </w:r>
      <w:r w:rsidR="001E65B7">
        <w:rPr>
          <w:rFonts w:eastAsia="Times New Roman"/>
          <w:color w:val="000000"/>
        </w:rPr>
        <w:t>dockingstøðir, keyboard og mús,</w:t>
      </w:r>
      <w:r>
        <w:t xml:space="preserve">  21 dagar</w:t>
      </w:r>
    </w:p>
    <w:p w14:paraId="4D0E4109" w14:textId="6D5AF184" w:rsidR="0004381A" w:rsidRDefault="0004381A" w:rsidP="008432EC">
      <w:pPr>
        <w:pStyle w:val="Listeafsnit"/>
        <w:numPr>
          <w:ilvl w:val="1"/>
          <w:numId w:val="3"/>
        </w:numPr>
      </w:pPr>
      <w:r>
        <w:t>Annað 1-5 dagar</w:t>
      </w:r>
    </w:p>
    <w:p w14:paraId="131468ED" w14:textId="31363B0F" w:rsidR="008432EC" w:rsidRDefault="008432EC" w:rsidP="008432EC">
      <w:r>
        <w:t xml:space="preserve">Stk. </w:t>
      </w:r>
      <w:r w:rsidR="00FB0ADD">
        <w:t>1</w:t>
      </w:r>
      <w:r w:rsidR="008247AA">
        <w:t>1</w:t>
      </w:r>
      <w:r>
        <w:t>. Veitarin kann ikki krevja</w:t>
      </w:r>
      <w:r w:rsidR="00E57ED3">
        <w:t>,</w:t>
      </w:r>
      <w:r>
        <w:t xml:space="preserve"> at </w:t>
      </w:r>
      <w:r w:rsidR="005B2320">
        <w:t>stovnur</w:t>
      </w:r>
      <w:r>
        <w:t xml:space="preserve"> setir seg í samband við undirveitara í samband við garanti o.l.</w:t>
      </w:r>
    </w:p>
    <w:p w14:paraId="110A0A71" w14:textId="5EEED63E" w:rsidR="008432EC" w:rsidRDefault="008432EC" w:rsidP="008432EC">
      <w:r>
        <w:t xml:space="preserve">Stk. </w:t>
      </w:r>
      <w:r w:rsidR="00CA5D8D">
        <w:t>1</w:t>
      </w:r>
      <w:r w:rsidR="008247AA">
        <w:t>2</w:t>
      </w:r>
      <w:r>
        <w:t xml:space="preserve">. </w:t>
      </w:r>
      <w:r w:rsidR="00E57ED3">
        <w:t>Umvælingar</w:t>
      </w:r>
      <w:r w:rsidR="009B3576">
        <w:t xml:space="preserve"> skulu </w:t>
      </w:r>
      <w:r w:rsidR="005B2320">
        <w:t>verða lidnar</w:t>
      </w:r>
      <w:r w:rsidR="009B3576">
        <w:t xml:space="preserve"> </w:t>
      </w:r>
      <w:r w:rsidR="005B2320">
        <w:t xml:space="preserve">áðrenn </w:t>
      </w:r>
      <w:r>
        <w:t>30 dagar</w:t>
      </w:r>
      <w:r w:rsidR="00BC27FC">
        <w:t xml:space="preserve"> frá tí at vøran er flýggja veitarinum. Stovnur</w:t>
      </w:r>
      <w:r w:rsidR="008372A4">
        <w:t xml:space="preserve"> skal fáa</w:t>
      </w:r>
      <w:r>
        <w:t xml:space="preserve"> </w:t>
      </w:r>
      <w:r w:rsidR="005D5142">
        <w:t>tilsvarandi vøru tøka</w:t>
      </w:r>
      <w:r>
        <w:t xml:space="preserve"> í tíðarskeiðnum. Kann </w:t>
      </w:r>
      <w:r w:rsidR="008372A4">
        <w:t>vøran</w:t>
      </w:r>
      <w:r>
        <w:t xml:space="preserve"> ikki </w:t>
      </w:r>
      <w:r w:rsidR="007C293F">
        <w:t>umvælast</w:t>
      </w:r>
      <w:r>
        <w:t xml:space="preserve">, skal Veitarin avhenda </w:t>
      </w:r>
      <w:r w:rsidR="00D74C4D">
        <w:t>vøruna</w:t>
      </w:r>
      <w:r>
        <w:t xml:space="preserve"> </w:t>
      </w:r>
      <w:r w:rsidR="00D74C4D">
        <w:t xml:space="preserve">aftur til stovnin. </w:t>
      </w:r>
    </w:p>
    <w:p w14:paraId="437B0CDD" w14:textId="77777777" w:rsidR="008432EC" w:rsidRPr="00532AA3" w:rsidRDefault="008432EC" w:rsidP="00FE182E"/>
    <w:p w14:paraId="6D62FF37" w14:textId="77777777" w:rsidR="0083085E" w:rsidRPr="0083085E" w:rsidRDefault="0083085E" w:rsidP="008D12C1">
      <w:pPr>
        <w:pStyle w:val="Overskrift1"/>
      </w:pPr>
      <w:bookmarkStart w:id="6" w:name="_Toc74917031"/>
      <w:r>
        <w:t>Bíligari tilboð</w:t>
      </w:r>
      <w:bookmarkEnd w:id="6"/>
    </w:p>
    <w:p w14:paraId="55B48D59" w14:textId="71193502" w:rsidR="008F5E42" w:rsidRDefault="008F5E42" w:rsidP="008F5E42">
      <w:r>
        <w:t>Stk. 1. Veitari kann ikki marknaðarføra og selja</w:t>
      </w:r>
      <w:r w:rsidR="00A77310">
        <w:t xml:space="preserve"> aðra</w:t>
      </w:r>
      <w:r>
        <w:t xml:space="preserve"> </w:t>
      </w:r>
      <w:r w:rsidR="0006530F">
        <w:t xml:space="preserve">líknandi </w:t>
      </w:r>
      <w:r w:rsidR="0009767C">
        <w:t>vøru</w:t>
      </w:r>
      <w:r w:rsidR="007025DA">
        <w:t xml:space="preserve"> til stovnar, um </w:t>
      </w:r>
      <w:r w:rsidR="0009767C">
        <w:t xml:space="preserve">vøran er umfata av </w:t>
      </w:r>
      <w:r w:rsidR="007025DA">
        <w:t>rammusáttmál</w:t>
      </w:r>
      <w:r w:rsidR="0009767C">
        <w:t>anum.</w:t>
      </w:r>
    </w:p>
    <w:p w14:paraId="67518B94" w14:textId="4E03B4F5" w:rsidR="00EE4036" w:rsidRDefault="00EE4036" w:rsidP="008F5E42">
      <w:r>
        <w:lastRenderedPageBreak/>
        <w:t xml:space="preserve">Stk. 2. </w:t>
      </w:r>
      <w:r w:rsidR="00973050">
        <w:t>V</w:t>
      </w:r>
      <w:r w:rsidR="00F50FEB">
        <w:t xml:space="preserve">elur </w:t>
      </w:r>
      <w:r w:rsidR="00973050">
        <w:t xml:space="preserve">veitarin </w:t>
      </w:r>
      <w:r w:rsidR="00F50FEB">
        <w:t xml:space="preserve">at </w:t>
      </w:r>
      <w:r w:rsidR="00BF16FF">
        <w:t xml:space="preserve">selja vørur á vørulistanum bíligari enn sáttmálin </w:t>
      </w:r>
      <w:r w:rsidR="00417155">
        <w:t>ásetur</w:t>
      </w:r>
      <w:r w:rsidR="00BF16FF">
        <w:t>, t.d. í samband vi</w:t>
      </w:r>
      <w:r w:rsidR="00E43E63">
        <w:t>ð kapanjutilboð</w:t>
      </w:r>
      <w:r w:rsidR="00C7612B">
        <w:t xml:space="preserve">, </w:t>
      </w:r>
      <w:r w:rsidR="008D47B9">
        <w:t>hava</w:t>
      </w:r>
      <w:r w:rsidR="00C7612B">
        <w:t xml:space="preserve"> </w:t>
      </w:r>
      <w:r w:rsidR="008D47B9">
        <w:t>stovn</w:t>
      </w:r>
      <w:r w:rsidR="00E0571B">
        <w:t>ar</w:t>
      </w:r>
      <w:r w:rsidR="008D47B9">
        <w:t xml:space="preserve"> umfataðir av rammusáttmálanum</w:t>
      </w:r>
      <w:r w:rsidR="00C7612B">
        <w:t xml:space="preserve"> rætt til sama prís</w:t>
      </w:r>
      <w:r w:rsidR="00C36035">
        <w:t>, og sk</w:t>
      </w:r>
      <w:r w:rsidR="00D474F2">
        <w:t>ulu</w:t>
      </w:r>
      <w:r w:rsidR="00C36035">
        <w:t xml:space="preserve"> samstundis fáa hetta upplýst í samband við keyp. </w:t>
      </w:r>
      <w:r w:rsidR="007C2768">
        <w:t>Veitarin hevur skyld</w:t>
      </w:r>
      <w:r w:rsidR="004F421A">
        <w:t>u</w:t>
      </w:r>
      <w:r w:rsidR="007C2768">
        <w:t xml:space="preserve">, at fáa hetta skrásett </w:t>
      </w:r>
      <w:r w:rsidR="00D474F2">
        <w:t>saman við aðrari skráseting</w:t>
      </w:r>
      <w:r w:rsidR="001616E9">
        <w:t xml:space="preserve">. </w:t>
      </w:r>
    </w:p>
    <w:p w14:paraId="49EEF1A5" w14:textId="77777777" w:rsidR="00051524" w:rsidRDefault="00051524" w:rsidP="008F5E42"/>
    <w:p w14:paraId="1BC4985F" w14:textId="3093BE50" w:rsidR="00FE182E" w:rsidRDefault="00FE182E" w:rsidP="008D12C1">
      <w:pPr>
        <w:pStyle w:val="Overskrift1"/>
      </w:pPr>
      <w:bookmarkStart w:id="7" w:name="_Toc74917032"/>
      <w:r>
        <w:t>Hagtøl og frágreiðingar</w:t>
      </w:r>
      <w:bookmarkEnd w:id="7"/>
    </w:p>
    <w:p w14:paraId="48515D77" w14:textId="77777777" w:rsidR="008A3100" w:rsidRDefault="0095782C" w:rsidP="00996589">
      <w:r w:rsidRPr="00A44EA0">
        <w:rPr>
          <w:i/>
          <w:iCs/>
        </w:rPr>
        <w:t>Stk. 1.</w:t>
      </w:r>
      <w:r>
        <w:t xml:space="preserve"> </w:t>
      </w:r>
      <w:r w:rsidR="008421CC">
        <w:t xml:space="preserve">Í seinasta lagi 30. </w:t>
      </w:r>
      <w:r w:rsidR="002758DF">
        <w:t>j</w:t>
      </w:r>
      <w:r w:rsidR="008421CC">
        <w:t>anuar á</w:t>
      </w:r>
      <w:r w:rsidR="00896D71">
        <w:t xml:space="preserve"> hvørjum </w:t>
      </w:r>
      <w:r w:rsidR="002758DF">
        <w:t xml:space="preserve">ári, </w:t>
      </w:r>
      <w:r w:rsidR="009F2B3F">
        <w:t>skal veitarin lata inn eina frágreiðing um sølugongd o.</w:t>
      </w:r>
      <w:r w:rsidR="002758DF">
        <w:t>tí</w:t>
      </w:r>
      <w:r w:rsidR="009F2B3F">
        <w:t xml:space="preserve">l. </w:t>
      </w:r>
    </w:p>
    <w:p w14:paraId="2EF8D7E2" w14:textId="230D9EAD" w:rsidR="00996589" w:rsidRDefault="00A44EA0" w:rsidP="00996589">
      <w:r>
        <w:rPr>
          <w:i/>
          <w:iCs/>
        </w:rPr>
        <w:t xml:space="preserve">Stk 2. </w:t>
      </w:r>
      <w:r w:rsidR="009B5DC5">
        <w:t>Um umbiðið</w:t>
      </w:r>
      <w:r w:rsidR="00FC13E0">
        <w:t xml:space="preserve"> </w:t>
      </w:r>
      <w:r w:rsidR="009B5DC5">
        <w:t>verðu</w:t>
      </w:r>
      <w:r w:rsidR="008A3100">
        <w:t>r</w:t>
      </w:r>
      <w:r w:rsidR="009B5DC5">
        <w:t xml:space="preserve"> um hagtøl í úrtíð</w:t>
      </w:r>
      <w:r w:rsidR="00151CAE">
        <w:t xml:space="preserve">, so skulu tey </w:t>
      </w:r>
      <w:r w:rsidR="008A3100">
        <w:t>flýggjast</w:t>
      </w:r>
      <w:r w:rsidR="00151CAE">
        <w:t xml:space="preserve"> innan </w:t>
      </w:r>
      <w:r w:rsidR="00454B97">
        <w:t>5</w:t>
      </w:r>
      <w:r w:rsidR="00151CAE">
        <w:t xml:space="preserve"> yrkadagar uttan </w:t>
      </w:r>
      <w:r w:rsidR="008A3100">
        <w:t>kostnað</w:t>
      </w:r>
      <w:r w:rsidR="00151CAE">
        <w:t xml:space="preserve">. </w:t>
      </w:r>
    </w:p>
    <w:p w14:paraId="16640668" w14:textId="66DDA5BD" w:rsidR="00ED0EC6" w:rsidRDefault="00ED0EC6" w:rsidP="00996589">
      <w:r w:rsidRPr="00A44EA0">
        <w:rPr>
          <w:i/>
          <w:iCs/>
        </w:rPr>
        <w:t xml:space="preserve">Stk. </w:t>
      </w:r>
      <w:r w:rsidR="00A44EA0" w:rsidRPr="00A44EA0">
        <w:rPr>
          <w:i/>
          <w:iCs/>
        </w:rPr>
        <w:t>3</w:t>
      </w:r>
      <w:r>
        <w:t xml:space="preserve">. Hagtølini skulu </w:t>
      </w:r>
      <w:r w:rsidR="002B4D4D">
        <w:t>skipast eftir sama leisti</w:t>
      </w:r>
      <w:r w:rsidR="00FF0693">
        <w:t>, sum</w:t>
      </w:r>
      <w:r>
        <w:t xml:space="preserve"> </w:t>
      </w:r>
      <w:r w:rsidR="00AE0EEB">
        <w:t>eru á fylgiseðl</w:t>
      </w:r>
      <w:r w:rsidR="00FC13E0">
        <w:t>i</w:t>
      </w:r>
      <w:r w:rsidR="00FF0693">
        <w:t xml:space="preserve"> í samband við keyp. </w:t>
      </w:r>
      <w:r w:rsidR="00151CAE">
        <w:t xml:space="preserve">Og skulu </w:t>
      </w:r>
      <w:r w:rsidR="003E496A">
        <w:t xml:space="preserve">latast inn sum Excelfíla. </w:t>
      </w:r>
    </w:p>
    <w:p w14:paraId="5C62FBC0" w14:textId="77777777" w:rsidR="008421CC" w:rsidRDefault="008421CC" w:rsidP="00996589"/>
    <w:p w14:paraId="693BD291" w14:textId="55362A7C" w:rsidR="00996589" w:rsidRDefault="00996589" w:rsidP="00996589">
      <w:pPr>
        <w:pStyle w:val="Overskrift1"/>
      </w:pPr>
      <w:bookmarkStart w:id="8" w:name="_Toc74917033"/>
      <w:r>
        <w:t>Samstarv</w:t>
      </w:r>
      <w:bookmarkEnd w:id="8"/>
    </w:p>
    <w:p w14:paraId="2992B507" w14:textId="77777777" w:rsidR="00386FC0" w:rsidRDefault="00386FC0" w:rsidP="00386FC0">
      <w:r>
        <w:rPr>
          <w:i/>
          <w:iCs/>
        </w:rPr>
        <w:t xml:space="preserve">Skt. 1. </w:t>
      </w:r>
      <w:r>
        <w:t xml:space="preserve">Veitarin skal áseta kontakpersón, ið hevur ábyrgd av rammusáttmálanum. </w:t>
      </w:r>
    </w:p>
    <w:p w14:paraId="7C3784D6" w14:textId="72494FAC" w:rsidR="00386FC0" w:rsidRDefault="00386FC0" w:rsidP="00386FC0">
      <w:r>
        <w:rPr>
          <w:i/>
          <w:iCs/>
        </w:rPr>
        <w:t xml:space="preserve">Stk. 2. </w:t>
      </w:r>
      <w:r>
        <w:t>Veitarin  og ábyrgdari skulu skipa fyri, og hava ábyrgd av, at øll sølustarvsfólk o.</w:t>
      </w:r>
      <w:r w:rsidR="00F05852">
        <w:t>tíl</w:t>
      </w:r>
      <w:r>
        <w:t xml:space="preserve">. kenna til </w:t>
      </w:r>
      <w:r w:rsidR="00F05852">
        <w:t>rammu</w:t>
      </w:r>
      <w:r>
        <w:t xml:space="preserve">sáttmálan. </w:t>
      </w:r>
    </w:p>
    <w:p w14:paraId="2EF59EDA" w14:textId="1F27D7A9" w:rsidR="00386FC0" w:rsidRDefault="008C69E8" w:rsidP="00996589">
      <w:r>
        <w:t>Stk.</w:t>
      </w:r>
      <w:r w:rsidR="00B509F3">
        <w:t xml:space="preserve"> </w:t>
      </w:r>
      <w:r>
        <w:t xml:space="preserve">3. Ábyrgdari skal hava </w:t>
      </w:r>
      <w:r w:rsidR="00CB46E3">
        <w:t xml:space="preserve">fulltrú at taka avgerðir </w:t>
      </w:r>
      <w:r w:rsidR="00B509F3">
        <w:t xml:space="preserve">Veitarans vegna. </w:t>
      </w:r>
    </w:p>
    <w:p w14:paraId="4924ADAE" w14:textId="5AFFBFCF" w:rsidR="00B509F3" w:rsidRDefault="00B509F3" w:rsidP="00B509F3">
      <w:r>
        <w:t xml:space="preserve">Stk. 4. Um Veitarin móttekur klagu frá stovni, so skal Veitarin senda skrivliga fráðgreiðing til </w:t>
      </w:r>
      <w:r w:rsidR="00CC70F3">
        <w:t>Gjaldstovuna</w:t>
      </w:r>
      <w:r>
        <w:t xml:space="preserve"> innan 5 yrkadagar. </w:t>
      </w:r>
    </w:p>
    <w:p w14:paraId="114196F4" w14:textId="6DA02D94" w:rsidR="00BA6474" w:rsidRDefault="00BA6474" w:rsidP="00BA6474">
      <w:r>
        <w:t>Stk. 5. Broyting í stovnsheitum, ella um økir verða undantiki</w:t>
      </w:r>
      <w:r w:rsidR="00A06EC1">
        <w:t>n</w:t>
      </w:r>
      <w:r>
        <w:t xml:space="preserve"> </w:t>
      </w:r>
      <w:r w:rsidR="00D0311A">
        <w:t xml:space="preserve">“Rundskriv nr. 9003 frá 1. juli 2019 um keyp av vørum og tænastum” </w:t>
      </w:r>
      <w:r>
        <w:t xml:space="preserve">hevur ikki ávirkan á sáttmálan. </w:t>
      </w:r>
    </w:p>
    <w:p w14:paraId="4136DCB8" w14:textId="46250B6B" w:rsidR="00632D9C" w:rsidRDefault="00996589" w:rsidP="00632D9C">
      <w:pPr>
        <w:rPr>
          <w:noProof/>
        </w:rPr>
      </w:pPr>
      <w:r>
        <w:t xml:space="preserve">Skt. </w:t>
      </w:r>
      <w:r w:rsidR="00BA6474">
        <w:t>6</w:t>
      </w:r>
      <w:r w:rsidR="00F903E5">
        <w:t>.</w:t>
      </w:r>
      <w:r>
        <w:t xml:space="preserve"> Partarnir eru samdir um at samstarva á ein skikkaðan hátt, halda ásetingar í hesum rammusáttmála og uppihalda neyðug krøv fyri virkseminum. </w:t>
      </w:r>
      <w:r w:rsidR="00527F5B">
        <w:rPr>
          <w:noProof/>
        </w:rPr>
        <w:t>Broyttar fyritreytir, sum kunnu við</w:t>
      </w:r>
      <w:r w:rsidR="00A32E78">
        <w:rPr>
          <w:noProof/>
        </w:rPr>
        <w:t>f</w:t>
      </w:r>
      <w:r w:rsidR="00527F5B">
        <w:rPr>
          <w:noProof/>
        </w:rPr>
        <w:t>øra, at annar parturin ikki kann halda sín part av avtaluni, skulu fráboðast hinum partinum so skjótt gjørligt.</w:t>
      </w:r>
    </w:p>
    <w:p w14:paraId="71B5C179" w14:textId="77777777" w:rsidR="004F1EE9" w:rsidRDefault="004F1EE9" w:rsidP="00632D9C"/>
    <w:p w14:paraId="6348E8CE" w14:textId="32B470CC" w:rsidR="00FE182E" w:rsidRDefault="00FE182E" w:rsidP="00FE182E">
      <w:pPr>
        <w:pStyle w:val="Overskrift1"/>
      </w:pPr>
      <w:bookmarkStart w:id="9" w:name="_Toc74917034"/>
      <w:r>
        <w:t xml:space="preserve">Broytingar í prísum og </w:t>
      </w:r>
      <w:r w:rsidR="004F1EE9">
        <w:t>vørum</w:t>
      </w:r>
      <w:bookmarkEnd w:id="9"/>
    </w:p>
    <w:p w14:paraId="31CCD7D2" w14:textId="66CA9BB3" w:rsidR="00C0536B" w:rsidRDefault="00046491" w:rsidP="00291E8E">
      <w:r>
        <w:t xml:space="preserve">Stk. 1. </w:t>
      </w:r>
      <w:r w:rsidR="0010404E">
        <w:t xml:space="preserve">Prísjavning kann bert </w:t>
      </w:r>
      <w:r w:rsidR="00291E8E">
        <w:t xml:space="preserve">fara fram 1. januar, og skal fylgja </w:t>
      </w:r>
      <w:r w:rsidR="0085166D">
        <w:t xml:space="preserve">prístalinum </w:t>
      </w:r>
      <w:r w:rsidR="00C10971" w:rsidRPr="0055082D">
        <w:t>“09.1.3 útgerð til kunningartøkni” frá Hagstovu Føroya</w:t>
      </w:r>
      <w:r w:rsidR="0055082D" w:rsidRPr="0055082D">
        <w:t>, tó kann hækkingin on</w:t>
      </w:r>
      <w:r w:rsidR="0055082D">
        <w:t xml:space="preserve">gantíð vera størri enn 1.5%. </w:t>
      </w:r>
    </w:p>
    <w:p w14:paraId="05C417E5" w14:textId="3B7E71A0" w:rsidR="001C5B72" w:rsidRPr="0055082D" w:rsidRDefault="001C5B72" w:rsidP="00555919">
      <w:r>
        <w:t>Stk. 2.</w:t>
      </w:r>
      <w:r w:rsidR="00EC0FCA">
        <w:t xml:space="preserve"> Í samband við broytingar í prísunum, skal Veitarin altíð seta seg í samband við </w:t>
      </w:r>
      <w:r w:rsidR="00372097">
        <w:t>Gjaldstovuna</w:t>
      </w:r>
      <w:r w:rsidR="00EC0FCA">
        <w:t xml:space="preserve"> áðrenn broytingar verða gjørdar. Eisini</w:t>
      </w:r>
      <w:r w:rsidR="00555919">
        <w:t xml:space="preserve"> í samband við avgjøld o.</w:t>
      </w:r>
      <w:r w:rsidR="00372097">
        <w:t>tí</w:t>
      </w:r>
      <w:r w:rsidR="00555919">
        <w:t>l., ið Veit</w:t>
      </w:r>
      <w:r w:rsidR="001F4975">
        <w:t>ari</w:t>
      </w:r>
      <w:r w:rsidR="00555919">
        <w:t xml:space="preserve"> og </w:t>
      </w:r>
      <w:r w:rsidR="008E7AAE">
        <w:t>Gjaldstovan</w:t>
      </w:r>
      <w:r w:rsidR="00555919">
        <w:t xml:space="preserve"> ikki hava ávirkan á. </w:t>
      </w:r>
    </w:p>
    <w:p w14:paraId="1FADCAB2" w14:textId="7FCC8D24" w:rsidR="005712B8" w:rsidRDefault="005712B8" w:rsidP="005712B8"/>
    <w:p w14:paraId="654FAA91" w14:textId="087B0ED4" w:rsidR="0003435F" w:rsidRPr="005712B8" w:rsidRDefault="0003435F" w:rsidP="0003435F">
      <w:pPr>
        <w:pStyle w:val="Overskrift1"/>
      </w:pPr>
      <w:bookmarkStart w:id="10" w:name="_Toc74917035"/>
      <w:r>
        <w:lastRenderedPageBreak/>
        <w:t>Broytingar í vøru</w:t>
      </w:r>
      <w:r w:rsidR="002154B8">
        <w:t>listanum</w:t>
      </w:r>
      <w:bookmarkEnd w:id="10"/>
    </w:p>
    <w:p w14:paraId="40B96E11" w14:textId="03256258" w:rsidR="0083085E" w:rsidRDefault="000F60FB" w:rsidP="0083085E">
      <w:r>
        <w:t xml:space="preserve">Stk. 1. </w:t>
      </w:r>
      <w:r w:rsidR="00FE2849">
        <w:t xml:space="preserve">Vørur kunnu blíva strikaðar </w:t>
      </w:r>
      <w:r w:rsidR="00961216">
        <w:t xml:space="preserve">um vøran </w:t>
      </w:r>
      <w:r w:rsidR="005A3ED6">
        <w:t>gongur út (</w:t>
      </w:r>
      <w:r w:rsidR="0029310F">
        <w:t>E</w:t>
      </w:r>
      <w:r w:rsidR="005A3ED6">
        <w:t>nd o</w:t>
      </w:r>
      <w:r w:rsidR="00B03F31">
        <w:t>f</w:t>
      </w:r>
      <w:r w:rsidR="005A3ED6">
        <w:t xml:space="preserve"> life) ella um </w:t>
      </w:r>
      <w:r w:rsidR="00A120C0">
        <w:t xml:space="preserve">Veitarin ikki hevur møguleika at selja vøruna longur (End of </w:t>
      </w:r>
      <w:r w:rsidR="0029310F">
        <w:t>s</w:t>
      </w:r>
      <w:r w:rsidR="00A120C0">
        <w:t xml:space="preserve">ale). </w:t>
      </w:r>
    </w:p>
    <w:p w14:paraId="41BE7559" w14:textId="54130970" w:rsidR="00362FB6" w:rsidRDefault="00A5124C" w:rsidP="0083085E">
      <w:r>
        <w:t xml:space="preserve">Stk. 2. </w:t>
      </w:r>
      <w:r w:rsidR="00281071">
        <w:t xml:space="preserve">Um vøra verður strika av vørulistanum, </w:t>
      </w:r>
      <w:r w:rsidR="00FE5F8B">
        <w:t xml:space="preserve">bindur Veitarin seg til at </w:t>
      </w:r>
      <w:r w:rsidR="00411FCC">
        <w:t xml:space="preserve">bjóða nýggja vøru </w:t>
      </w:r>
      <w:r w:rsidR="00B21F2D">
        <w:t>(substituti</w:t>
      </w:r>
      <w:r w:rsidR="0029310F">
        <w:t>ón</w:t>
      </w:r>
      <w:r w:rsidR="00B21F2D">
        <w:t>)</w:t>
      </w:r>
      <w:r w:rsidR="00411FCC">
        <w:t xml:space="preserve">, sum </w:t>
      </w:r>
      <w:r w:rsidR="004C5270">
        <w:t>í allar mátar liv</w:t>
      </w:r>
      <w:r w:rsidR="00411FCC">
        <w:t>ur</w:t>
      </w:r>
      <w:r w:rsidR="004C5270">
        <w:t xml:space="preserve"> upp til </w:t>
      </w:r>
      <w:r w:rsidR="000174E2">
        <w:t>dygd, prís</w:t>
      </w:r>
      <w:r w:rsidR="004C5270">
        <w:t xml:space="preserve"> o.a. </w:t>
      </w:r>
      <w:r w:rsidR="0030225F">
        <w:t>sum s</w:t>
      </w:r>
      <w:r w:rsidR="000174E2">
        <w:t xml:space="preserve">trikaða </w:t>
      </w:r>
      <w:r w:rsidR="00721ACB">
        <w:t>vøran</w:t>
      </w:r>
      <w:r w:rsidR="00A25972">
        <w:t xml:space="preserve"> hevur</w:t>
      </w:r>
      <w:r w:rsidR="000174E2">
        <w:t xml:space="preserve">. </w:t>
      </w:r>
    </w:p>
    <w:p w14:paraId="5D7AA603" w14:textId="48BD82A1" w:rsidR="00A120C0" w:rsidRDefault="00362FB6" w:rsidP="0083085E">
      <w:r>
        <w:t xml:space="preserve">Stk. 3. Møguleiki </w:t>
      </w:r>
      <w:r w:rsidR="00CD5F93">
        <w:t xml:space="preserve">skal eisini vera fyri at leggja vøru aftrat </w:t>
      </w:r>
      <w:r>
        <w:t>vørulistanum</w:t>
      </w:r>
      <w:r w:rsidR="00CD5F93">
        <w:t xml:space="preserve"> um </w:t>
      </w:r>
      <w:r w:rsidR="00A25972">
        <w:t>Gjaldstovan</w:t>
      </w:r>
      <w:r w:rsidR="00CD5F93">
        <w:t xml:space="preserve"> ynskir tað. </w:t>
      </w:r>
    </w:p>
    <w:p w14:paraId="5C84D475" w14:textId="18888B8A" w:rsidR="00FD3AD2" w:rsidRDefault="00FD3AD2" w:rsidP="0083085E">
      <w:r>
        <w:t xml:space="preserve">Stk. 4. Allar broytingar í vørulistanum skulu góðkennast av </w:t>
      </w:r>
      <w:r w:rsidR="00A25972">
        <w:t>Gjaldstovuni</w:t>
      </w:r>
      <w:r w:rsidR="001B3407">
        <w:t xml:space="preserve">, áðrenn tær verða </w:t>
      </w:r>
      <w:r w:rsidR="005D2805">
        <w:t xml:space="preserve">settar í verk. </w:t>
      </w:r>
    </w:p>
    <w:p w14:paraId="08D8DCE0" w14:textId="029E1FEC" w:rsidR="00FE182E" w:rsidRDefault="00FE182E" w:rsidP="00FE182E"/>
    <w:p w14:paraId="104ABAF2" w14:textId="3311BD44" w:rsidR="00FE182E" w:rsidRDefault="00FE182E" w:rsidP="00A07E03">
      <w:pPr>
        <w:pStyle w:val="Overskrift1"/>
      </w:pPr>
      <w:bookmarkStart w:id="11" w:name="_Toc74917036"/>
      <w:r>
        <w:t>Broytingar í sáttmálanum</w:t>
      </w:r>
      <w:bookmarkEnd w:id="11"/>
    </w:p>
    <w:p w14:paraId="4A4DE890" w14:textId="51AB4A99" w:rsidR="0048199F" w:rsidRDefault="0048199F" w:rsidP="0048199F">
      <w:r>
        <w:t xml:space="preserve">Stk. 1. Broytingar í </w:t>
      </w:r>
      <w:r w:rsidR="00C006EA">
        <w:t xml:space="preserve">hesum </w:t>
      </w:r>
      <w:r>
        <w:t>rammusáttmálanum skulu fráboðast við rímiligari freist</w:t>
      </w:r>
      <w:r w:rsidR="000075BC">
        <w:t xml:space="preserve">, og verða gjørdar við einum ískoyti til hendan sáttmálan. </w:t>
      </w:r>
    </w:p>
    <w:p w14:paraId="29DFBFE5" w14:textId="306E9526" w:rsidR="0048199F" w:rsidRDefault="0048199F" w:rsidP="0048199F">
      <w:r>
        <w:t xml:space="preserve">Stk. 2. Opinlýsir feilir í </w:t>
      </w:r>
      <w:r w:rsidR="00C006EA">
        <w:t xml:space="preserve">hesum </w:t>
      </w:r>
      <w:r>
        <w:t>rammusáttmálanum, fylgiskjølum osfr. t.d. skeivar tilvísingar ella sláfeilir</w:t>
      </w:r>
      <w:r w:rsidR="00263529">
        <w:t xml:space="preserve">, kann Gjaldstovan broyta uttan at veitari skal góðkenna hetta. Tó skal </w:t>
      </w:r>
      <w:r w:rsidR="00683EAC">
        <w:t xml:space="preserve">veitarin verða kunnaður. </w:t>
      </w:r>
    </w:p>
    <w:p w14:paraId="4A96AA1A" w14:textId="3B6BDAAC" w:rsidR="00BD0C23" w:rsidRDefault="00BD0C23" w:rsidP="00BD0C23"/>
    <w:p w14:paraId="33B0CECE" w14:textId="20FA71E8" w:rsidR="00883DE5" w:rsidRDefault="00883DE5" w:rsidP="00883DE5">
      <w:pPr>
        <w:pStyle w:val="Overskrift1"/>
      </w:pPr>
      <w:bookmarkStart w:id="12" w:name="_Toc56518186"/>
      <w:bookmarkStart w:id="13" w:name="_Toc74917037"/>
      <w:r>
        <w:t>Force Majeure og týðandi mishald</w:t>
      </w:r>
      <w:bookmarkEnd w:id="12"/>
      <w:bookmarkEnd w:id="13"/>
    </w:p>
    <w:p w14:paraId="1BB99804" w14:textId="31B468DF" w:rsidR="00844A00" w:rsidRDefault="00844A00" w:rsidP="00844A00">
      <w:r>
        <w:t xml:space="preserve">Stk. 1. Týðandi mishald verður mett í mun til galdandi praksis og lóggávu. Tó altíð </w:t>
      </w:r>
      <w:r w:rsidR="00683EAC">
        <w:t>um</w:t>
      </w:r>
      <w:r>
        <w:t xml:space="preserve"> talan er um: brot á trúnað, vantandi lýdni í mun til lóggávu, óreiðiligur atburður og brot á sáttmálan, sum eftir eina ávaring ikki verður rættað. </w:t>
      </w:r>
    </w:p>
    <w:p w14:paraId="3A0992A4" w14:textId="77777777" w:rsidR="00844A00" w:rsidRDefault="00844A00" w:rsidP="00844A00">
      <w:r>
        <w:t xml:space="preserve">Stk. 2. Partarnir kunnu ikki ábyrgdast fyri mishald orsakað av force majeure. </w:t>
      </w:r>
    </w:p>
    <w:p w14:paraId="1C4B7878" w14:textId="5BCA710B" w:rsidR="00844A00" w:rsidRDefault="00844A00" w:rsidP="00844A00">
      <w:r>
        <w:t>Stk. 3. Force majeure ger seg galdandi tá tað er ómøguligt at fylgja sáttmálanum orsakað av kríggj, natúrhendinugum, eldi, ve</w:t>
      </w:r>
      <w:r w:rsidR="00285559">
        <w:t>r</w:t>
      </w:r>
      <w:r>
        <w:t>kfall</w:t>
      </w:r>
      <w:r w:rsidR="00285559">
        <w:t>i</w:t>
      </w:r>
      <w:r>
        <w:t>, verkbann</w:t>
      </w:r>
      <w:r w:rsidR="00285559">
        <w:t>i</w:t>
      </w:r>
      <w:r>
        <w:t xml:space="preserve"> o.</w:t>
      </w:r>
      <w:r w:rsidR="00285559">
        <w:t>tí</w:t>
      </w:r>
      <w:r>
        <w:t>l.</w:t>
      </w:r>
    </w:p>
    <w:p w14:paraId="165953BC" w14:textId="191FA8E5" w:rsidR="00844A00" w:rsidRDefault="00844A00" w:rsidP="00844A00">
      <w:r>
        <w:t xml:space="preserve">Stk. 4. Partarnir hava </w:t>
      </w:r>
      <w:r w:rsidR="00285559">
        <w:t>skyldu</w:t>
      </w:r>
      <w:r>
        <w:t xml:space="preserve"> til at manna tilbúgving um neyðugt. </w:t>
      </w:r>
    </w:p>
    <w:p w14:paraId="7BEE195A" w14:textId="39502ED2" w:rsidR="00844A00" w:rsidRPr="003C297C" w:rsidRDefault="00844A00" w:rsidP="00844A00">
      <w:r>
        <w:t xml:space="preserve">Stk. 5. Partarnir bera sjálvir </w:t>
      </w:r>
      <w:r w:rsidR="00803D7D">
        <w:t>útreiðslur</w:t>
      </w:r>
      <w:r>
        <w:t xml:space="preserve"> av tapi, ið skyldast Force Majeure. </w:t>
      </w:r>
    </w:p>
    <w:p w14:paraId="3CA9461C" w14:textId="334ABB2B" w:rsidR="00883DE5" w:rsidRDefault="00883DE5" w:rsidP="00BD0C23"/>
    <w:p w14:paraId="54FB2BB3" w14:textId="1535D9F8" w:rsidR="00883DE5" w:rsidRDefault="00883DE5" w:rsidP="00883DE5">
      <w:pPr>
        <w:pStyle w:val="Overskrift1"/>
      </w:pPr>
      <w:bookmarkStart w:id="14" w:name="_Toc74917038"/>
      <w:r>
        <w:t>Avhenda til triðja part</w:t>
      </w:r>
      <w:bookmarkEnd w:id="14"/>
    </w:p>
    <w:p w14:paraId="1909A9BD" w14:textId="77777777" w:rsidR="00D53B90" w:rsidRDefault="00D53B90" w:rsidP="00D53B90">
      <w:r>
        <w:t xml:space="preserve">Stk. 1. Partarnir kunnu ikki avhenda nakrar av sínum skyldum sambært sáttmálanum til triðja part, uttan skrivliga góðkenning frá hinum partinum. </w:t>
      </w:r>
    </w:p>
    <w:p w14:paraId="22C17B9F" w14:textId="558E45EC" w:rsidR="00D53B90" w:rsidRPr="00C26770" w:rsidRDefault="00D53B90" w:rsidP="00D53B90">
      <w:r>
        <w:t xml:space="preserve">Stk. 2. </w:t>
      </w:r>
      <w:r w:rsidR="006A5633">
        <w:t>Gjaldstovan</w:t>
      </w:r>
      <w:r>
        <w:t xml:space="preserve"> kann altíð afturvísa triðja part. Sjálvt um viðkomandi uppfyllir skyldurnar í sáttmálanum og útboðstilfar</w:t>
      </w:r>
      <w:r w:rsidR="00803D7D">
        <w:t>i</w:t>
      </w:r>
      <w:r>
        <w:t xml:space="preserve">. </w:t>
      </w:r>
    </w:p>
    <w:p w14:paraId="4F27573E" w14:textId="5B2BA0D1" w:rsidR="00883DE5" w:rsidRDefault="00883DE5" w:rsidP="00BD0C23"/>
    <w:p w14:paraId="33C555CE" w14:textId="35FB0686" w:rsidR="00AD21B1" w:rsidRDefault="00AD21B1" w:rsidP="00AD21B1">
      <w:pPr>
        <w:pStyle w:val="Overskrift1"/>
      </w:pPr>
      <w:bookmarkStart w:id="15" w:name="_Toc74917039"/>
      <w:r>
        <w:lastRenderedPageBreak/>
        <w:t>Trúnaður</w:t>
      </w:r>
      <w:bookmarkEnd w:id="15"/>
    </w:p>
    <w:p w14:paraId="0F4D58E8" w14:textId="7D63B3A2" w:rsidR="008E2203" w:rsidRDefault="008E2203" w:rsidP="008E2203">
      <w:r>
        <w:t xml:space="preserve">Stk 1. </w:t>
      </w:r>
      <w:r w:rsidR="00792043">
        <w:t>Gjaldstovan</w:t>
      </w:r>
      <w:r>
        <w:t xml:space="preserve"> er fevnd av “Løgtingslóg nr. 133 frá 10. juni 1993 um innlit í fyrisitingina”. </w:t>
      </w:r>
    </w:p>
    <w:p w14:paraId="25586CB0" w14:textId="77777777" w:rsidR="008E2203" w:rsidRDefault="008E2203" w:rsidP="008E2203">
      <w:r>
        <w:t xml:space="preserve">Stk 2. Partarnir  hava tagnaskyldu um viðurskifti, sum partarnir fáa innlit í hjá hvørjum øðrum umvegis samstarvið eftir hesum rammusáttmála, og sum eftir teirra natúr ella lóggávu eiga at vera hildin í trúnaði. </w:t>
      </w:r>
    </w:p>
    <w:p w14:paraId="4C4E5C73" w14:textId="25116868" w:rsidR="008E2203" w:rsidRDefault="008E2203" w:rsidP="008E2203">
      <w:r>
        <w:t>Stk. 3. Tagnarskyldan heldur fram eftir</w:t>
      </w:r>
      <w:r w:rsidR="0003048F">
        <w:t>,</w:t>
      </w:r>
      <w:r>
        <w:t xml:space="preserve"> at sáttmálin </w:t>
      </w:r>
      <w:r w:rsidR="0003048F">
        <w:t>fer úr</w:t>
      </w:r>
      <w:r>
        <w:t xml:space="preserve"> gildi. </w:t>
      </w:r>
    </w:p>
    <w:p w14:paraId="3FC3F21A" w14:textId="77777777" w:rsidR="00AD21B1" w:rsidRDefault="00AD21B1" w:rsidP="00BD0C23"/>
    <w:p w14:paraId="60A43780" w14:textId="7446107E" w:rsidR="00BB03E4" w:rsidRDefault="00BB03E4" w:rsidP="00BB03E4">
      <w:pPr>
        <w:pStyle w:val="Overskrift1"/>
      </w:pPr>
      <w:bookmarkStart w:id="16" w:name="_Toc74917040"/>
      <w:r>
        <w:t>Endurgjald</w:t>
      </w:r>
      <w:bookmarkEnd w:id="16"/>
    </w:p>
    <w:p w14:paraId="4872EBDA" w14:textId="77777777" w:rsidR="00207E04" w:rsidRDefault="00207E04" w:rsidP="00207E04">
      <w:r>
        <w:t xml:space="preserve">Stk. 1. Báðir partar hava endurgjaldssábyrgd í fylgi føroyskari lóggávu. </w:t>
      </w:r>
    </w:p>
    <w:p w14:paraId="7BCEE202" w14:textId="70841BD3" w:rsidR="00207E04" w:rsidRDefault="00207E04" w:rsidP="00207E04">
      <w:r>
        <w:t xml:space="preserve">Stk. 2. Um </w:t>
      </w:r>
      <w:r w:rsidR="0003048F">
        <w:t>Gjaldstovan</w:t>
      </w:r>
      <w:r>
        <w:t xml:space="preserve"> sigur sáttmálan upp vegna mishald frá veitara, so skal veitari dekka tapið</w:t>
      </w:r>
      <w:r w:rsidR="00102A27">
        <w:t xml:space="preserve"> </w:t>
      </w:r>
      <w:r w:rsidR="00D372FB">
        <w:t xml:space="preserve">landið og stovnar fáa av hesum. </w:t>
      </w:r>
    </w:p>
    <w:p w14:paraId="4AC1626F" w14:textId="6B57A170" w:rsidR="00207E04" w:rsidRDefault="00207E04" w:rsidP="00207E04">
      <w:r>
        <w:t xml:space="preserve">Stk. 3. </w:t>
      </w:r>
      <w:r w:rsidR="008B74D4">
        <w:t xml:space="preserve">Gjaldstovan </w:t>
      </w:r>
      <w:r>
        <w:t xml:space="preserve">átekur sær ikki ábyrgd vegna tey, ið sjálvboðin kunnu gera brúk av </w:t>
      </w:r>
      <w:r w:rsidR="003C1E27">
        <w:t>rammusáttmálanum</w:t>
      </w:r>
      <w:r>
        <w:t xml:space="preserve">. </w:t>
      </w:r>
    </w:p>
    <w:p w14:paraId="77EA11F7" w14:textId="424F69AB" w:rsidR="00207E04" w:rsidRDefault="00207E04" w:rsidP="00207E04">
      <w:r>
        <w:t xml:space="preserve">Stk. 4. </w:t>
      </w:r>
      <w:r w:rsidR="003C1E27">
        <w:t>Gjaldstovan</w:t>
      </w:r>
      <w:r>
        <w:t xml:space="preserve"> kann ikki ábyrgdast yvirfyri triðja parti og mishald ella aðrar skyldur í mun til aðrar sáttmállar ella líknandi, ið </w:t>
      </w:r>
      <w:r w:rsidR="003C1E27">
        <w:t xml:space="preserve">Gjaldstovan </w:t>
      </w:r>
      <w:r>
        <w:t xml:space="preserve">ikki varar av. Veitarin heftir sjálvur yvirfyri sínum undirveitarum, og møgulig konsortier hefta solidarisk. </w:t>
      </w:r>
    </w:p>
    <w:p w14:paraId="27EA470C" w14:textId="17E8482F" w:rsidR="00BB03E4" w:rsidRDefault="00BB03E4" w:rsidP="00BD0C23"/>
    <w:p w14:paraId="4525F516" w14:textId="42EDE197" w:rsidR="00BB03E4" w:rsidRDefault="00AD21B1" w:rsidP="00AD21B1">
      <w:pPr>
        <w:pStyle w:val="Overskrift1"/>
      </w:pPr>
      <w:bookmarkStart w:id="17" w:name="_Toc74917041"/>
      <w:r>
        <w:t>Træta</w:t>
      </w:r>
      <w:bookmarkEnd w:id="17"/>
    </w:p>
    <w:p w14:paraId="66701AAE" w14:textId="77777777" w:rsidR="00DF10ED" w:rsidRDefault="00DF10ED" w:rsidP="00DF10ED">
      <w:r>
        <w:t xml:space="preserve">Stk. 1. Er talan um trætu, so skal semja sovítt gjørligt søkjast við samráðingum. </w:t>
      </w:r>
    </w:p>
    <w:p w14:paraId="75BC6B43" w14:textId="3E8B69D7" w:rsidR="00DF10ED" w:rsidRDefault="00DF10ED" w:rsidP="00DF10ED">
      <w:r>
        <w:t xml:space="preserve">Stk. 2. Bera samráðingar ikki á mál, skal trætan loysast endaligt við dómstólarnar. </w:t>
      </w:r>
    </w:p>
    <w:p w14:paraId="07449F43" w14:textId="3E225894" w:rsidR="00450292" w:rsidRDefault="00450292">
      <w:pPr>
        <w:spacing w:line="259" w:lineRule="auto"/>
      </w:pPr>
      <w:r>
        <w:br w:type="page"/>
      </w:r>
    </w:p>
    <w:p w14:paraId="7B26432A" w14:textId="7D592D84" w:rsidR="00FE182E" w:rsidRDefault="00FE182E" w:rsidP="00FE182E">
      <w:pPr>
        <w:pStyle w:val="Overskrift1"/>
      </w:pPr>
      <w:bookmarkStart w:id="18" w:name="_Toc74917042"/>
      <w:r>
        <w:lastRenderedPageBreak/>
        <w:t>Undirskrift</w:t>
      </w:r>
      <w:bookmarkEnd w:id="18"/>
    </w:p>
    <w:p w14:paraId="68F46C8A" w14:textId="2135D600" w:rsidR="005D3C76" w:rsidRDefault="00450292" w:rsidP="005D3C76">
      <w:pPr>
        <w:rPr>
          <w:b/>
          <w:bCs/>
        </w:rPr>
      </w:pPr>
      <w:r>
        <w:rPr>
          <w:b/>
          <w:bCs/>
        </w:rPr>
        <w:t>Gjaldstovan</w:t>
      </w:r>
    </w:p>
    <w:p w14:paraId="03F4CD31" w14:textId="77777777" w:rsidR="005D3C76" w:rsidRDefault="005D3C76" w:rsidP="005D3C76">
      <w:pPr>
        <w:rPr>
          <w:b/>
          <w:bCs/>
        </w:rPr>
      </w:pPr>
    </w:p>
    <w:p w14:paraId="61708938" w14:textId="77777777" w:rsidR="005D3C76" w:rsidRDefault="005D3C76" w:rsidP="005D3C7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</w:t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________________________________ </w:t>
      </w:r>
    </w:p>
    <w:p w14:paraId="354D20EE" w14:textId="55043A90" w:rsidR="005D3C76" w:rsidRDefault="005D3C76" w:rsidP="005D3C76">
      <w:pPr>
        <w:pStyle w:val="Default"/>
        <w:tabs>
          <w:tab w:val="left" w:pos="3402"/>
        </w:tabs>
        <w:ind w:left="851"/>
        <w:rPr>
          <w:sz w:val="22"/>
          <w:szCs w:val="22"/>
        </w:rPr>
      </w:pPr>
      <w:r>
        <w:rPr>
          <w:sz w:val="22"/>
          <w:szCs w:val="22"/>
        </w:rPr>
        <w:t>Staður og dato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Und</w:t>
      </w:r>
      <w:r w:rsidR="003A5E4C">
        <w:rPr>
          <w:sz w:val="22"/>
          <w:szCs w:val="22"/>
        </w:rPr>
        <w:t>i</w:t>
      </w:r>
      <w:r>
        <w:rPr>
          <w:sz w:val="22"/>
          <w:szCs w:val="22"/>
        </w:rPr>
        <w:t xml:space="preserve">rskrift </w:t>
      </w:r>
    </w:p>
    <w:p w14:paraId="6AF52067" w14:textId="77777777" w:rsidR="005D3C76" w:rsidRDefault="005D3C76" w:rsidP="005D3C76">
      <w:pPr>
        <w:pStyle w:val="Default"/>
        <w:ind w:left="720" w:firstLine="720"/>
        <w:rPr>
          <w:sz w:val="22"/>
          <w:szCs w:val="22"/>
        </w:rPr>
      </w:pPr>
    </w:p>
    <w:p w14:paraId="58E8F65E" w14:textId="77777777" w:rsidR="005D3C76" w:rsidRDefault="005D3C76" w:rsidP="005D3C76">
      <w:pPr>
        <w:pStyle w:val="Default"/>
        <w:ind w:left="720" w:firstLine="720"/>
        <w:rPr>
          <w:sz w:val="22"/>
          <w:szCs w:val="22"/>
        </w:rPr>
      </w:pPr>
    </w:p>
    <w:p w14:paraId="7C40642A" w14:textId="77777777" w:rsidR="005D3C76" w:rsidRDefault="005D3C76" w:rsidP="005D3C76">
      <w:pPr>
        <w:pStyle w:val="Default"/>
        <w:rPr>
          <w:b/>
          <w:bCs/>
          <w:sz w:val="22"/>
          <w:szCs w:val="22"/>
        </w:rPr>
      </w:pPr>
    </w:p>
    <w:p w14:paraId="4D4F8E4D" w14:textId="77777777" w:rsidR="005D3C76" w:rsidRDefault="005D3C76" w:rsidP="005D3C76">
      <w:pPr>
        <w:pStyle w:val="Default"/>
        <w:rPr>
          <w:b/>
          <w:bCs/>
          <w:sz w:val="22"/>
          <w:szCs w:val="22"/>
        </w:rPr>
      </w:pPr>
    </w:p>
    <w:p w14:paraId="0013014F" w14:textId="77777777" w:rsidR="005D3C76" w:rsidRDefault="005D3C76" w:rsidP="005D3C76">
      <w:pPr>
        <w:pStyle w:val="Default"/>
        <w:rPr>
          <w:b/>
          <w:bCs/>
          <w:sz w:val="22"/>
          <w:szCs w:val="22"/>
        </w:rPr>
      </w:pPr>
    </w:p>
    <w:p w14:paraId="7425E54D" w14:textId="77777777" w:rsidR="005D3C76" w:rsidRDefault="005D3C76" w:rsidP="005D3C76">
      <w:pPr>
        <w:pStyle w:val="Default"/>
        <w:rPr>
          <w:b/>
          <w:bCs/>
          <w:sz w:val="22"/>
          <w:szCs w:val="22"/>
        </w:rPr>
      </w:pPr>
    </w:p>
    <w:p w14:paraId="6CDA9E40" w14:textId="77777777" w:rsidR="005D3C76" w:rsidRDefault="005D3C76" w:rsidP="005D3C76">
      <w:pPr>
        <w:pStyle w:val="Default"/>
        <w:ind w:left="432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 </w:t>
      </w:r>
    </w:p>
    <w:p w14:paraId="19F5FEA7" w14:textId="77777777" w:rsidR="005D3C76" w:rsidRDefault="005D3C76" w:rsidP="005D3C76">
      <w:pPr>
        <w:pStyle w:val="Default"/>
        <w:ind w:left="5040" w:firstLine="720"/>
        <w:rPr>
          <w:sz w:val="22"/>
          <w:szCs w:val="22"/>
        </w:rPr>
      </w:pPr>
      <w:r>
        <w:rPr>
          <w:sz w:val="22"/>
          <w:szCs w:val="22"/>
        </w:rPr>
        <w:t xml:space="preserve">Tittul og navn á </w:t>
      </w:r>
      <w:r>
        <w:t>undirritara</w:t>
      </w:r>
    </w:p>
    <w:p w14:paraId="0D371AD2" w14:textId="77777777" w:rsidR="005D3C76" w:rsidRDefault="005D3C76" w:rsidP="005D3C76">
      <w:pPr>
        <w:pStyle w:val="Default"/>
        <w:rPr>
          <w:b/>
          <w:bCs/>
          <w:sz w:val="22"/>
          <w:szCs w:val="22"/>
        </w:rPr>
      </w:pPr>
    </w:p>
    <w:p w14:paraId="160CAF13" w14:textId="77777777" w:rsidR="005D3C76" w:rsidRDefault="005D3C76" w:rsidP="005D3C76">
      <w:pPr>
        <w:pStyle w:val="Default"/>
        <w:rPr>
          <w:b/>
          <w:bCs/>
          <w:sz w:val="22"/>
          <w:szCs w:val="22"/>
        </w:rPr>
      </w:pPr>
    </w:p>
    <w:p w14:paraId="7FA53BFF" w14:textId="77777777" w:rsidR="005D3C76" w:rsidRDefault="005D3C76" w:rsidP="005D3C76">
      <w:pPr>
        <w:pStyle w:val="Default"/>
        <w:rPr>
          <w:b/>
          <w:bCs/>
          <w:sz w:val="22"/>
          <w:szCs w:val="22"/>
        </w:rPr>
      </w:pPr>
    </w:p>
    <w:p w14:paraId="00FBAC83" w14:textId="77777777" w:rsidR="005D3C76" w:rsidRDefault="005D3C76" w:rsidP="005D3C76">
      <w:pPr>
        <w:pStyle w:val="Default"/>
        <w:rPr>
          <w:b/>
          <w:bCs/>
          <w:sz w:val="22"/>
          <w:szCs w:val="22"/>
        </w:rPr>
      </w:pPr>
    </w:p>
    <w:p w14:paraId="5215CF44" w14:textId="77777777" w:rsidR="005D3C76" w:rsidRDefault="005D3C76" w:rsidP="005D3C76">
      <w:pPr>
        <w:pStyle w:val="Default"/>
        <w:rPr>
          <w:b/>
          <w:bCs/>
          <w:sz w:val="22"/>
          <w:szCs w:val="22"/>
        </w:rPr>
      </w:pPr>
    </w:p>
    <w:p w14:paraId="29BD4DF4" w14:textId="77777777" w:rsidR="005D3C76" w:rsidRDefault="005D3C76" w:rsidP="005D3C76">
      <w:pPr>
        <w:pStyle w:val="Default"/>
        <w:rPr>
          <w:b/>
          <w:bCs/>
          <w:sz w:val="22"/>
          <w:szCs w:val="22"/>
        </w:rPr>
      </w:pPr>
    </w:p>
    <w:p w14:paraId="5E645E4F" w14:textId="77777777" w:rsidR="005D3C76" w:rsidRDefault="005D3C76" w:rsidP="005D3C76">
      <w:pPr>
        <w:pStyle w:val="Default"/>
        <w:rPr>
          <w:b/>
          <w:bCs/>
          <w:sz w:val="22"/>
          <w:szCs w:val="22"/>
        </w:rPr>
      </w:pPr>
    </w:p>
    <w:p w14:paraId="4B82E047" w14:textId="77777777" w:rsidR="005D3C76" w:rsidRDefault="005D3C76" w:rsidP="005D3C76">
      <w:pPr>
        <w:rPr>
          <w:b/>
          <w:bCs/>
        </w:rPr>
      </w:pPr>
      <w:r>
        <w:rPr>
          <w:b/>
          <w:bCs/>
        </w:rPr>
        <w:t>Veitari</w:t>
      </w:r>
    </w:p>
    <w:p w14:paraId="76E2ECFD" w14:textId="77777777" w:rsidR="005D3C76" w:rsidRDefault="005D3C76" w:rsidP="005D3C76">
      <w:pPr>
        <w:rPr>
          <w:b/>
          <w:bCs/>
        </w:rPr>
      </w:pPr>
    </w:p>
    <w:p w14:paraId="7AAAA702" w14:textId="77777777" w:rsidR="005D3C76" w:rsidRDefault="005D3C76" w:rsidP="005D3C7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________________________________ </w:t>
      </w:r>
    </w:p>
    <w:p w14:paraId="7FD5F6BA" w14:textId="3B2E25C2" w:rsidR="005D3C76" w:rsidRDefault="005D3C76" w:rsidP="005D3C76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Staður og dato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Und</w:t>
      </w:r>
      <w:r w:rsidR="003A5E4C">
        <w:rPr>
          <w:sz w:val="22"/>
          <w:szCs w:val="22"/>
        </w:rPr>
        <w:t>i</w:t>
      </w:r>
      <w:r>
        <w:rPr>
          <w:sz w:val="22"/>
          <w:szCs w:val="22"/>
        </w:rPr>
        <w:t xml:space="preserve">rskrift </w:t>
      </w:r>
    </w:p>
    <w:p w14:paraId="4E673947" w14:textId="77777777" w:rsidR="005D3C76" w:rsidRDefault="005D3C76" w:rsidP="005D3C76">
      <w:pPr>
        <w:pStyle w:val="Default"/>
        <w:ind w:left="720" w:firstLine="720"/>
        <w:rPr>
          <w:sz w:val="22"/>
          <w:szCs w:val="22"/>
        </w:rPr>
      </w:pPr>
    </w:p>
    <w:p w14:paraId="690D2E6F" w14:textId="77777777" w:rsidR="005D3C76" w:rsidRDefault="005D3C76" w:rsidP="005D3C76">
      <w:pPr>
        <w:pStyle w:val="Default"/>
        <w:ind w:left="720" w:firstLine="720"/>
        <w:rPr>
          <w:sz w:val="22"/>
          <w:szCs w:val="22"/>
        </w:rPr>
      </w:pPr>
    </w:p>
    <w:p w14:paraId="39BB49C4" w14:textId="77777777" w:rsidR="005D3C76" w:rsidRDefault="005D3C76" w:rsidP="005D3C76">
      <w:pPr>
        <w:pStyle w:val="Default"/>
        <w:rPr>
          <w:b/>
          <w:bCs/>
          <w:sz w:val="22"/>
          <w:szCs w:val="22"/>
        </w:rPr>
      </w:pPr>
    </w:p>
    <w:p w14:paraId="6109BE31" w14:textId="77777777" w:rsidR="005D3C76" w:rsidRDefault="005D3C76" w:rsidP="005D3C76">
      <w:pPr>
        <w:pStyle w:val="Default"/>
        <w:rPr>
          <w:b/>
          <w:bCs/>
          <w:sz w:val="22"/>
          <w:szCs w:val="22"/>
        </w:rPr>
      </w:pPr>
    </w:p>
    <w:p w14:paraId="4DD23D69" w14:textId="77777777" w:rsidR="005D3C76" w:rsidRDefault="005D3C76" w:rsidP="005D3C76">
      <w:pPr>
        <w:pStyle w:val="Default"/>
        <w:rPr>
          <w:b/>
          <w:bCs/>
          <w:sz w:val="22"/>
          <w:szCs w:val="22"/>
        </w:rPr>
      </w:pPr>
    </w:p>
    <w:p w14:paraId="158AB64B" w14:textId="77777777" w:rsidR="005D3C76" w:rsidRDefault="005D3C76" w:rsidP="005D3C76">
      <w:pPr>
        <w:pStyle w:val="Default"/>
        <w:rPr>
          <w:b/>
          <w:bCs/>
          <w:sz w:val="22"/>
          <w:szCs w:val="22"/>
        </w:rPr>
      </w:pPr>
    </w:p>
    <w:p w14:paraId="05802A39" w14:textId="77777777" w:rsidR="005D3C76" w:rsidRDefault="005D3C76" w:rsidP="005D3C76">
      <w:pPr>
        <w:pStyle w:val="Default"/>
        <w:ind w:left="432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 </w:t>
      </w:r>
    </w:p>
    <w:p w14:paraId="20E0916B" w14:textId="77777777" w:rsidR="005D3C76" w:rsidRDefault="005D3C76" w:rsidP="005D3C76">
      <w:pPr>
        <w:pStyle w:val="Default"/>
        <w:ind w:left="5040" w:firstLine="720"/>
        <w:rPr>
          <w:sz w:val="22"/>
          <w:szCs w:val="22"/>
        </w:rPr>
      </w:pPr>
      <w:r>
        <w:rPr>
          <w:sz w:val="22"/>
          <w:szCs w:val="22"/>
        </w:rPr>
        <w:t xml:space="preserve">Tittul og navn á </w:t>
      </w:r>
      <w:r>
        <w:t>undirritara</w:t>
      </w:r>
    </w:p>
    <w:p w14:paraId="62377F00" w14:textId="77777777" w:rsidR="005D3C76" w:rsidRDefault="005D3C76" w:rsidP="005D3C76">
      <w:pPr>
        <w:pStyle w:val="Default"/>
        <w:rPr>
          <w:b/>
          <w:bCs/>
          <w:sz w:val="22"/>
          <w:szCs w:val="22"/>
        </w:rPr>
      </w:pPr>
    </w:p>
    <w:p w14:paraId="613416F7" w14:textId="77777777" w:rsidR="00FE182E" w:rsidRPr="00FE182E" w:rsidRDefault="00FE182E" w:rsidP="00FE182E"/>
    <w:p w14:paraId="5203725C" w14:textId="6947223D" w:rsidR="00FE182E" w:rsidRDefault="00FE182E" w:rsidP="00FE182E"/>
    <w:p w14:paraId="68F970CC" w14:textId="77777777" w:rsidR="00FE182E" w:rsidRPr="00FE182E" w:rsidRDefault="00FE182E" w:rsidP="00FE182E"/>
    <w:p w14:paraId="3CD906E9" w14:textId="6CEAF242" w:rsidR="00FE182E" w:rsidRDefault="00FE182E" w:rsidP="00FE182E"/>
    <w:p w14:paraId="70C174F9" w14:textId="77777777" w:rsidR="00FE182E" w:rsidRPr="00FE182E" w:rsidRDefault="00FE182E" w:rsidP="00FE182E"/>
    <w:p w14:paraId="7FC06160" w14:textId="126495D1" w:rsidR="00FE182E" w:rsidRDefault="00FE182E" w:rsidP="00FE182E"/>
    <w:p w14:paraId="37D422CE" w14:textId="77777777" w:rsidR="00FE182E" w:rsidRPr="00FE182E" w:rsidRDefault="00FE182E" w:rsidP="00FE182E"/>
    <w:sectPr w:rsidR="00FE182E" w:rsidRPr="00FE182E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9AAE" w14:textId="77777777" w:rsidR="00D126B1" w:rsidRDefault="00D126B1" w:rsidP="00FE182E">
      <w:pPr>
        <w:spacing w:after="0" w:line="240" w:lineRule="auto"/>
      </w:pPr>
      <w:r>
        <w:separator/>
      </w:r>
    </w:p>
  </w:endnote>
  <w:endnote w:type="continuationSeparator" w:id="0">
    <w:p w14:paraId="4EE60EC8" w14:textId="77777777" w:rsidR="00D126B1" w:rsidRDefault="00D126B1" w:rsidP="00FE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225945"/>
      <w:docPartObj>
        <w:docPartGallery w:val="Page Numbers (Bottom of Page)"/>
        <w:docPartUnique/>
      </w:docPartObj>
    </w:sdtPr>
    <w:sdtEndPr/>
    <w:sdtContent>
      <w:p w14:paraId="27843007" w14:textId="77777777" w:rsidR="00FE182E" w:rsidRDefault="00FE182E" w:rsidP="00FE182E">
        <w:pPr>
          <w:pStyle w:val="Sidefod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5334A65" wp14:editId="6BB9D3F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1" name="Grupp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A93333" w14:textId="77777777" w:rsidR="00FE182E" w:rsidRDefault="00FE182E" w:rsidP="00FE182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  <w:lang w:val="da-DK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/6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5334A65" id="Gruppe 1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3EA93333" w14:textId="77777777" w:rsidR="00FE182E" w:rsidRDefault="00FE182E" w:rsidP="00FE182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  <w:lang w:val="da-DK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color w:val="8C8C8C" w:themeColor="background1" w:themeShade="8C"/>
                            </w:rPr>
                            <w:t>/6</w:t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  <w:p w14:paraId="1FD033F4" w14:textId="77777777" w:rsidR="00FE182E" w:rsidRDefault="00FE182E" w:rsidP="00FE182E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EE558" w14:textId="77777777" w:rsidR="00D126B1" w:rsidRDefault="00D126B1" w:rsidP="00FE182E">
      <w:pPr>
        <w:spacing w:after="0" w:line="240" w:lineRule="auto"/>
      </w:pPr>
      <w:r>
        <w:separator/>
      </w:r>
    </w:p>
  </w:footnote>
  <w:footnote w:type="continuationSeparator" w:id="0">
    <w:p w14:paraId="6B858F9C" w14:textId="77777777" w:rsidR="00D126B1" w:rsidRDefault="00D126B1" w:rsidP="00FE1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82B3" w14:textId="77777777" w:rsidR="00FE182E" w:rsidRDefault="00FE182E" w:rsidP="00FE182E">
    <w:pPr>
      <w:pStyle w:val="Sidehoved"/>
      <w:jc w:val="center"/>
    </w:pPr>
    <w:r>
      <w:t>Gjaldstovan – Keyp Landsins</w:t>
    </w:r>
  </w:p>
  <w:p w14:paraId="2985FABC" w14:textId="77777777" w:rsidR="00FE182E" w:rsidRDefault="00FE182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C065C"/>
    <w:multiLevelType w:val="hybridMultilevel"/>
    <w:tmpl w:val="794AAB48"/>
    <w:lvl w:ilvl="0" w:tplc="3176F4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176F4EE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95B4D"/>
    <w:multiLevelType w:val="hybridMultilevel"/>
    <w:tmpl w:val="D03E5F7C"/>
    <w:lvl w:ilvl="0" w:tplc="3176F4EE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3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C1429C"/>
    <w:multiLevelType w:val="hybridMultilevel"/>
    <w:tmpl w:val="24483E3C"/>
    <w:lvl w:ilvl="0" w:tplc="3176F4EE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3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457274"/>
    <w:multiLevelType w:val="multilevel"/>
    <w:tmpl w:val="0438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0037485"/>
    <w:multiLevelType w:val="hybridMultilevel"/>
    <w:tmpl w:val="A184D0B4"/>
    <w:lvl w:ilvl="0" w:tplc="3176F4EE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43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7A803D2"/>
    <w:multiLevelType w:val="hybridMultilevel"/>
    <w:tmpl w:val="8DA0C0AE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D1C47"/>
    <w:multiLevelType w:val="hybridMultilevel"/>
    <w:tmpl w:val="9CE22662"/>
    <w:lvl w:ilvl="0" w:tplc="3176F4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3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2E"/>
    <w:rsid w:val="00002012"/>
    <w:rsid w:val="000060FC"/>
    <w:rsid w:val="000075BC"/>
    <w:rsid w:val="000174E2"/>
    <w:rsid w:val="000261C8"/>
    <w:rsid w:val="0003048F"/>
    <w:rsid w:val="0003435F"/>
    <w:rsid w:val="0004381A"/>
    <w:rsid w:val="00046491"/>
    <w:rsid w:val="00051524"/>
    <w:rsid w:val="0006530F"/>
    <w:rsid w:val="000718E9"/>
    <w:rsid w:val="000916BA"/>
    <w:rsid w:val="00096F36"/>
    <w:rsid w:val="0009767C"/>
    <w:rsid w:val="000C4C2B"/>
    <w:rsid w:val="000F60FB"/>
    <w:rsid w:val="000F74F6"/>
    <w:rsid w:val="00102A27"/>
    <w:rsid w:val="0010404E"/>
    <w:rsid w:val="00111E92"/>
    <w:rsid w:val="001129FB"/>
    <w:rsid w:val="00112D3F"/>
    <w:rsid w:val="00151CAE"/>
    <w:rsid w:val="001616E9"/>
    <w:rsid w:val="001717E2"/>
    <w:rsid w:val="001918C4"/>
    <w:rsid w:val="001B3407"/>
    <w:rsid w:val="001C5B72"/>
    <w:rsid w:val="001D01A6"/>
    <w:rsid w:val="001D7A2E"/>
    <w:rsid w:val="001D7DAD"/>
    <w:rsid w:val="001E65B7"/>
    <w:rsid w:val="001F4975"/>
    <w:rsid w:val="001F530E"/>
    <w:rsid w:val="001F5F19"/>
    <w:rsid w:val="00207E04"/>
    <w:rsid w:val="00213E16"/>
    <w:rsid w:val="002154B8"/>
    <w:rsid w:val="00226C29"/>
    <w:rsid w:val="0023564E"/>
    <w:rsid w:val="00256CF1"/>
    <w:rsid w:val="00263529"/>
    <w:rsid w:val="00264A02"/>
    <w:rsid w:val="002758DF"/>
    <w:rsid w:val="00281071"/>
    <w:rsid w:val="00281A4E"/>
    <w:rsid w:val="00285559"/>
    <w:rsid w:val="00291E8E"/>
    <w:rsid w:val="0029310F"/>
    <w:rsid w:val="00295494"/>
    <w:rsid w:val="00295B06"/>
    <w:rsid w:val="002B4D4D"/>
    <w:rsid w:val="002C4045"/>
    <w:rsid w:val="002C7D25"/>
    <w:rsid w:val="002E391F"/>
    <w:rsid w:val="002F714E"/>
    <w:rsid w:val="00300B91"/>
    <w:rsid w:val="0030225F"/>
    <w:rsid w:val="00304A81"/>
    <w:rsid w:val="0030649D"/>
    <w:rsid w:val="003122AF"/>
    <w:rsid w:val="00320593"/>
    <w:rsid w:val="00333CE1"/>
    <w:rsid w:val="0033583F"/>
    <w:rsid w:val="00337890"/>
    <w:rsid w:val="00351C92"/>
    <w:rsid w:val="00362FB6"/>
    <w:rsid w:val="00366C12"/>
    <w:rsid w:val="00372097"/>
    <w:rsid w:val="00377EAB"/>
    <w:rsid w:val="003862D1"/>
    <w:rsid w:val="00386FC0"/>
    <w:rsid w:val="00393787"/>
    <w:rsid w:val="003A1478"/>
    <w:rsid w:val="003A5E4C"/>
    <w:rsid w:val="003A770F"/>
    <w:rsid w:val="003B477C"/>
    <w:rsid w:val="003C1E27"/>
    <w:rsid w:val="003D0F46"/>
    <w:rsid w:val="003D6721"/>
    <w:rsid w:val="003E14FB"/>
    <w:rsid w:val="003E496A"/>
    <w:rsid w:val="003F5B49"/>
    <w:rsid w:val="00405323"/>
    <w:rsid w:val="00410A44"/>
    <w:rsid w:val="00411FCC"/>
    <w:rsid w:val="004150D2"/>
    <w:rsid w:val="00417155"/>
    <w:rsid w:val="004440DD"/>
    <w:rsid w:val="00450225"/>
    <w:rsid w:val="00450292"/>
    <w:rsid w:val="00454B97"/>
    <w:rsid w:val="00462B37"/>
    <w:rsid w:val="0048199F"/>
    <w:rsid w:val="004A0F40"/>
    <w:rsid w:val="004A1BDC"/>
    <w:rsid w:val="004A79AC"/>
    <w:rsid w:val="004C5270"/>
    <w:rsid w:val="004C68C0"/>
    <w:rsid w:val="004D1CD2"/>
    <w:rsid w:val="004D3F0B"/>
    <w:rsid w:val="004F1EE9"/>
    <w:rsid w:val="004F421A"/>
    <w:rsid w:val="004F7236"/>
    <w:rsid w:val="0050469A"/>
    <w:rsid w:val="005168CA"/>
    <w:rsid w:val="00527F5B"/>
    <w:rsid w:val="00532AA3"/>
    <w:rsid w:val="0055082D"/>
    <w:rsid w:val="005522A0"/>
    <w:rsid w:val="00555919"/>
    <w:rsid w:val="0056615B"/>
    <w:rsid w:val="005679C9"/>
    <w:rsid w:val="00570D88"/>
    <w:rsid w:val="00570F9D"/>
    <w:rsid w:val="005712B8"/>
    <w:rsid w:val="00586E3A"/>
    <w:rsid w:val="005A3ED6"/>
    <w:rsid w:val="005B2320"/>
    <w:rsid w:val="005D2805"/>
    <w:rsid w:val="005D3C76"/>
    <w:rsid w:val="005D5142"/>
    <w:rsid w:val="005E2C45"/>
    <w:rsid w:val="005E320B"/>
    <w:rsid w:val="005F7909"/>
    <w:rsid w:val="00602FAF"/>
    <w:rsid w:val="00632D9C"/>
    <w:rsid w:val="00644BA0"/>
    <w:rsid w:val="00683A95"/>
    <w:rsid w:val="00683EAC"/>
    <w:rsid w:val="00686C91"/>
    <w:rsid w:val="00692D0F"/>
    <w:rsid w:val="0069508B"/>
    <w:rsid w:val="006A5633"/>
    <w:rsid w:val="006C465B"/>
    <w:rsid w:val="006E6B11"/>
    <w:rsid w:val="007025DA"/>
    <w:rsid w:val="0070689D"/>
    <w:rsid w:val="00715A7F"/>
    <w:rsid w:val="00720E0A"/>
    <w:rsid w:val="00721ACB"/>
    <w:rsid w:val="00731693"/>
    <w:rsid w:val="007440CF"/>
    <w:rsid w:val="007578B7"/>
    <w:rsid w:val="00762A5E"/>
    <w:rsid w:val="00775EF2"/>
    <w:rsid w:val="00792043"/>
    <w:rsid w:val="007947CD"/>
    <w:rsid w:val="0079506D"/>
    <w:rsid w:val="00797360"/>
    <w:rsid w:val="0079778C"/>
    <w:rsid w:val="007C2768"/>
    <w:rsid w:val="007C293F"/>
    <w:rsid w:val="007C6589"/>
    <w:rsid w:val="007D2475"/>
    <w:rsid w:val="007E3F56"/>
    <w:rsid w:val="007E5B8F"/>
    <w:rsid w:val="007E6E57"/>
    <w:rsid w:val="007E73BB"/>
    <w:rsid w:val="007E77F9"/>
    <w:rsid w:val="007F19A9"/>
    <w:rsid w:val="007F5F6B"/>
    <w:rsid w:val="00800A18"/>
    <w:rsid w:val="00800D2F"/>
    <w:rsid w:val="00803D7D"/>
    <w:rsid w:val="008247AA"/>
    <w:rsid w:val="0083085E"/>
    <w:rsid w:val="00832BBD"/>
    <w:rsid w:val="00835CF7"/>
    <w:rsid w:val="008372A4"/>
    <w:rsid w:val="008421CC"/>
    <w:rsid w:val="008432EC"/>
    <w:rsid w:val="008435BA"/>
    <w:rsid w:val="00844A00"/>
    <w:rsid w:val="008476DE"/>
    <w:rsid w:val="0085166D"/>
    <w:rsid w:val="00854CFA"/>
    <w:rsid w:val="00864211"/>
    <w:rsid w:val="00864590"/>
    <w:rsid w:val="00883DE5"/>
    <w:rsid w:val="00892AB4"/>
    <w:rsid w:val="00894F8E"/>
    <w:rsid w:val="00896D71"/>
    <w:rsid w:val="008A064C"/>
    <w:rsid w:val="008A3100"/>
    <w:rsid w:val="008B74D4"/>
    <w:rsid w:val="008B7801"/>
    <w:rsid w:val="008C0122"/>
    <w:rsid w:val="008C69E8"/>
    <w:rsid w:val="008D12C1"/>
    <w:rsid w:val="008D47B9"/>
    <w:rsid w:val="008D4A02"/>
    <w:rsid w:val="008E2203"/>
    <w:rsid w:val="008E7AAE"/>
    <w:rsid w:val="008F5E42"/>
    <w:rsid w:val="009029F5"/>
    <w:rsid w:val="009116BF"/>
    <w:rsid w:val="009135D2"/>
    <w:rsid w:val="00914C60"/>
    <w:rsid w:val="00916A19"/>
    <w:rsid w:val="00943423"/>
    <w:rsid w:val="009458DA"/>
    <w:rsid w:val="0095782C"/>
    <w:rsid w:val="00961216"/>
    <w:rsid w:val="00961241"/>
    <w:rsid w:val="0096276F"/>
    <w:rsid w:val="009664FB"/>
    <w:rsid w:val="00971ECF"/>
    <w:rsid w:val="009725CC"/>
    <w:rsid w:val="00973050"/>
    <w:rsid w:val="00987669"/>
    <w:rsid w:val="00990FA7"/>
    <w:rsid w:val="0099526D"/>
    <w:rsid w:val="00996589"/>
    <w:rsid w:val="009B3576"/>
    <w:rsid w:val="009B549F"/>
    <w:rsid w:val="009B5DC5"/>
    <w:rsid w:val="009C444D"/>
    <w:rsid w:val="009C6D3A"/>
    <w:rsid w:val="009D658E"/>
    <w:rsid w:val="009E5A21"/>
    <w:rsid w:val="009E6C47"/>
    <w:rsid w:val="009F2B3F"/>
    <w:rsid w:val="00A06EC1"/>
    <w:rsid w:val="00A120C0"/>
    <w:rsid w:val="00A13E47"/>
    <w:rsid w:val="00A25972"/>
    <w:rsid w:val="00A32E78"/>
    <w:rsid w:val="00A34D09"/>
    <w:rsid w:val="00A35233"/>
    <w:rsid w:val="00A41C60"/>
    <w:rsid w:val="00A44E00"/>
    <w:rsid w:val="00A44EA0"/>
    <w:rsid w:val="00A5124C"/>
    <w:rsid w:val="00A53352"/>
    <w:rsid w:val="00A77310"/>
    <w:rsid w:val="00AB6864"/>
    <w:rsid w:val="00AD21B1"/>
    <w:rsid w:val="00AD7596"/>
    <w:rsid w:val="00AE0EEB"/>
    <w:rsid w:val="00AF3017"/>
    <w:rsid w:val="00AF6C55"/>
    <w:rsid w:val="00B03F31"/>
    <w:rsid w:val="00B13FD8"/>
    <w:rsid w:val="00B14FAF"/>
    <w:rsid w:val="00B16EBE"/>
    <w:rsid w:val="00B21F2D"/>
    <w:rsid w:val="00B26A0D"/>
    <w:rsid w:val="00B36E50"/>
    <w:rsid w:val="00B46136"/>
    <w:rsid w:val="00B509F3"/>
    <w:rsid w:val="00B605D2"/>
    <w:rsid w:val="00B7457D"/>
    <w:rsid w:val="00B80DCB"/>
    <w:rsid w:val="00BA1E6E"/>
    <w:rsid w:val="00BA6474"/>
    <w:rsid w:val="00BB03E4"/>
    <w:rsid w:val="00BB7E97"/>
    <w:rsid w:val="00BC27FC"/>
    <w:rsid w:val="00BC318D"/>
    <w:rsid w:val="00BD0C23"/>
    <w:rsid w:val="00BE0FD0"/>
    <w:rsid w:val="00BE4958"/>
    <w:rsid w:val="00BF16FF"/>
    <w:rsid w:val="00C006EA"/>
    <w:rsid w:val="00C0536B"/>
    <w:rsid w:val="00C0549F"/>
    <w:rsid w:val="00C10971"/>
    <w:rsid w:val="00C2301C"/>
    <w:rsid w:val="00C2353E"/>
    <w:rsid w:val="00C32F89"/>
    <w:rsid w:val="00C36035"/>
    <w:rsid w:val="00C37E23"/>
    <w:rsid w:val="00C37EEC"/>
    <w:rsid w:val="00C44748"/>
    <w:rsid w:val="00C458DC"/>
    <w:rsid w:val="00C7612B"/>
    <w:rsid w:val="00C761E4"/>
    <w:rsid w:val="00C8133C"/>
    <w:rsid w:val="00C870BC"/>
    <w:rsid w:val="00C87AAD"/>
    <w:rsid w:val="00C97211"/>
    <w:rsid w:val="00CA5D8D"/>
    <w:rsid w:val="00CB46E3"/>
    <w:rsid w:val="00CB52CE"/>
    <w:rsid w:val="00CB610E"/>
    <w:rsid w:val="00CC70F3"/>
    <w:rsid w:val="00CD5F93"/>
    <w:rsid w:val="00CF4489"/>
    <w:rsid w:val="00CF63E0"/>
    <w:rsid w:val="00D0311A"/>
    <w:rsid w:val="00D06965"/>
    <w:rsid w:val="00D126B1"/>
    <w:rsid w:val="00D22101"/>
    <w:rsid w:val="00D372FB"/>
    <w:rsid w:val="00D474F2"/>
    <w:rsid w:val="00D47C89"/>
    <w:rsid w:val="00D53B90"/>
    <w:rsid w:val="00D74C4D"/>
    <w:rsid w:val="00D8190A"/>
    <w:rsid w:val="00D83698"/>
    <w:rsid w:val="00D84570"/>
    <w:rsid w:val="00D87E50"/>
    <w:rsid w:val="00DA5C9E"/>
    <w:rsid w:val="00DC3911"/>
    <w:rsid w:val="00DC3AFF"/>
    <w:rsid w:val="00DD0FC7"/>
    <w:rsid w:val="00DD18AF"/>
    <w:rsid w:val="00DE248A"/>
    <w:rsid w:val="00DF10ED"/>
    <w:rsid w:val="00DF473D"/>
    <w:rsid w:val="00DF79FC"/>
    <w:rsid w:val="00E01FC0"/>
    <w:rsid w:val="00E04C3A"/>
    <w:rsid w:val="00E0571B"/>
    <w:rsid w:val="00E331F2"/>
    <w:rsid w:val="00E43E63"/>
    <w:rsid w:val="00E57ED3"/>
    <w:rsid w:val="00E665D4"/>
    <w:rsid w:val="00E729D9"/>
    <w:rsid w:val="00E83B57"/>
    <w:rsid w:val="00EA7E46"/>
    <w:rsid w:val="00EC0FCA"/>
    <w:rsid w:val="00EC2218"/>
    <w:rsid w:val="00ED0957"/>
    <w:rsid w:val="00ED0EC6"/>
    <w:rsid w:val="00EE4036"/>
    <w:rsid w:val="00EF40F5"/>
    <w:rsid w:val="00EF619A"/>
    <w:rsid w:val="00F023DE"/>
    <w:rsid w:val="00F03FED"/>
    <w:rsid w:val="00F05852"/>
    <w:rsid w:val="00F2199C"/>
    <w:rsid w:val="00F4220F"/>
    <w:rsid w:val="00F479FF"/>
    <w:rsid w:val="00F50FEB"/>
    <w:rsid w:val="00F536EE"/>
    <w:rsid w:val="00F65611"/>
    <w:rsid w:val="00F8017B"/>
    <w:rsid w:val="00F807A8"/>
    <w:rsid w:val="00F83E29"/>
    <w:rsid w:val="00F84AB5"/>
    <w:rsid w:val="00F903E5"/>
    <w:rsid w:val="00FA378F"/>
    <w:rsid w:val="00FA56CF"/>
    <w:rsid w:val="00FA7494"/>
    <w:rsid w:val="00FB02D2"/>
    <w:rsid w:val="00FB0ADD"/>
    <w:rsid w:val="00FB23B0"/>
    <w:rsid w:val="00FB3882"/>
    <w:rsid w:val="00FB588C"/>
    <w:rsid w:val="00FC1251"/>
    <w:rsid w:val="00FC13E0"/>
    <w:rsid w:val="00FC291E"/>
    <w:rsid w:val="00FC37CF"/>
    <w:rsid w:val="00FC5751"/>
    <w:rsid w:val="00FD3AD2"/>
    <w:rsid w:val="00FE182E"/>
    <w:rsid w:val="00FE1DF7"/>
    <w:rsid w:val="00FE2849"/>
    <w:rsid w:val="00FE5F8B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80E1"/>
  <w15:chartTrackingRefBased/>
  <w15:docId w15:val="{EB1751F3-443B-4344-8591-218022D3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82E"/>
    <w:pPr>
      <w:spacing w:line="300" w:lineRule="auto"/>
    </w:pPr>
    <w:rPr>
      <w:rFonts w:eastAsiaTheme="minorEastAsia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E182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182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E182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E182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E182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E182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E182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E182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E182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E18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E18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E182E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FE182E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E1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182E"/>
    <w:rPr>
      <w:rFonts w:eastAsiaTheme="minorEastAsia"/>
      <w:szCs w:val="21"/>
    </w:rPr>
  </w:style>
  <w:style w:type="paragraph" w:styleId="Sidefod">
    <w:name w:val="footer"/>
    <w:basedOn w:val="Normal"/>
    <w:link w:val="SidefodTegn"/>
    <w:uiPriority w:val="99"/>
    <w:unhideWhenUsed/>
    <w:rsid w:val="00FE1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182E"/>
    <w:rPr>
      <w:rFonts w:eastAsiaTheme="minorEastAsia"/>
      <w:szCs w:val="2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E1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E18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E18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E182E"/>
    <w:rPr>
      <w:rFonts w:asciiTheme="majorHAnsi" w:eastAsiaTheme="majorEastAsia" w:hAnsiTheme="majorHAnsi" w:cstheme="majorBidi"/>
      <w:i/>
      <w:iCs/>
      <w:color w:val="2F5496" w:themeColor="accent1" w:themeShade="BF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E182E"/>
    <w:rPr>
      <w:rFonts w:asciiTheme="majorHAnsi" w:eastAsiaTheme="majorEastAsia" w:hAnsiTheme="majorHAnsi" w:cstheme="majorBidi"/>
      <w:color w:val="2F5496" w:themeColor="accent1" w:themeShade="BF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E182E"/>
    <w:rPr>
      <w:rFonts w:asciiTheme="majorHAnsi" w:eastAsiaTheme="majorEastAsia" w:hAnsiTheme="majorHAnsi" w:cstheme="majorBidi"/>
      <w:color w:val="1F3763" w:themeColor="accent1" w:themeShade="7F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E182E"/>
    <w:rPr>
      <w:rFonts w:asciiTheme="majorHAnsi" w:eastAsiaTheme="majorEastAsia" w:hAnsiTheme="majorHAnsi" w:cstheme="majorBidi"/>
      <w:i/>
      <w:iCs/>
      <w:color w:val="1F3763" w:themeColor="accent1" w:themeShade="7F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E18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E1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FA7494"/>
    <w:pPr>
      <w:spacing w:after="100"/>
      <w:ind w:left="220"/>
    </w:pPr>
  </w:style>
  <w:style w:type="paragraph" w:styleId="Listeafsnit">
    <w:name w:val="List Paragraph"/>
    <w:basedOn w:val="Normal"/>
    <w:uiPriority w:val="34"/>
    <w:qFormat/>
    <w:rsid w:val="00FA7494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762A5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62A5E"/>
    <w:rPr>
      <w:rFonts w:eastAsiaTheme="minorEastAsia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62A5E"/>
    <w:rPr>
      <w:vertAlign w:val="superscript"/>
    </w:rPr>
  </w:style>
  <w:style w:type="character" w:styleId="Ulstomtale">
    <w:name w:val="Unresolved Mention"/>
    <w:basedOn w:val="Standardskrifttypeiafsnit"/>
    <w:uiPriority w:val="99"/>
    <w:semiHidden/>
    <w:unhideWhenUsed/>
    <w:rsid w:val="00720E0A"/>
    <w:rPr>
      <w:color w:val="605E5C"/>
      <w:shd w:val="clear" w:color="auto" w:fill="E1DFDD"/>
    </w:rPr>
  </w:style>
  <w:style w:type="paragraph" w:customStyle="1" w:styleId="Default">
    <w:name w:val="Default"/>
    <w:rsid w:val="005D3C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0222D1C2D60C4FA6708ADE64C2E3E1" ma:contentTypeVersion="6" ma:contentTypeDescription="Opret et nyt dokument." ma:contentTypeScope="" ma:versionID="4052ab9fea3f01b39e74be18a2cfb2b6">
  <xsd:schema xmlns:xsd="http://www.w3.org/2001/XMLSchema" xmlns:xs="http://www.w3.org/2001/XMLSchema" xmlns:p="http://schemas.microsoft.com/office/2006/metadata/properties" xmlns:ns2="8b8de880-6cdc-4f78-95b9-0b1ef1a4847f" targetNamespace="http://schemas.microsoft.com/office/2006/metadata/properties" ma:root="true" ma:fieldsID="5252f6d8efc32be7749e201cad3ceb04" ns2:_="">
    <xsd:import namespace="8b8de880-6cdc-4f78-95b9-0b1ef1a484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de880-6cdc-4f78-95b9-0b1ef1a48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D37C41-BF4D-4D06-978F-45A1BFEF8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de880-6cdc-4f78-95b9-0b1ef1a48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6506F-CEEF-4292-9B8D-E76A3420F0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B68300-D196-4B2C-BD07-3D290493C0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197BD9-CF41-425A-A918-19C05103F8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9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Hansen</dc:creator>
  <cp:keywords/>
  <dc:description/>
  <cp:lastModifiedBy>Kim Hansen</cp:lastModifiedBy>
  <cp:revision>54</cp:revision>
  <dcterms:created xsi:type="dcterms:W3CDTF">2021-06-18T12:28:00Z</dcterms:created>
  <dcterms:modified xsi:type="dcterms:W3CDTF">2021-09-30T14:48:00Z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0x010100920222D1C2D60C4FA6708ADE64C2E3E1</vt:lpwstr>
  </property>
</Properties>
</file>